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FA19" w14:textId="0E4E4BF5" w:rsidR="001D015C" w:rsidRDefault="001D015C" w:rsidP="001D015C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t xml:space="preserve">Výsledky z šetření Informace o pracovních podmínkách </w:t>
      </w:r>
    </w:p>
    <w:p w14:paraId="0B707D5B" w14:textId="77777777" w:rsidR="001D015C" w:rsidRDefault="001D015C" w:rsidP="001D015C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2E264034" w14:textId="77777777" w:rsidR="00BA2873" w:rsidRPr="00E70DA7" w:rsidRDefault="00BA2873" w:rsidP="00BA2873">
      <w:pPr>
        <w:pStyle w:val="Odstavecseseznamem"/>
        <w:numPr>
          <w:ilvl w:val="0"/>
          <w:numId w:val="9"/>
        </w:num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 w:rsidRPr="00E70DA7">
        <w:rPr>
          <w:rFonts w:ascii="Arial" w:hAnsi="Arial" w:cs="Arial"/>
          <w:b/>
          <w:bCs/>
          <w:color w:val="000CC7"/>
          <w:sz w:val="28"/>
          <w:szCs w:val="28"/>
        </w:rPr>
        <w:t>Úvod</w:t>
      </w:r>
    </w:p>
    <w:p w14:paraId="29C67D47" w14:textId="77777777" w:rsidR="001D015C" w:rsidRDefault="001D015C" w:rsidP="001D015C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3EC0C42A" w14:textId="0DBA341C" w:rsidR="001D015C" w:rsidRDefault="001D015C" w:rsidP="001D015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„Informace o pracovních podmínkách“ (IPP) každoročně sleduje pracovní a mzdové podmínky u zaměstnavatelů v České republice na základě analýzy kolektivních smluv. Šetření se v gesci Ministerstva práce a sociálních věcí pravidelně provádí od roku 1993. Jeho účelem je mapovat a analyzovat obsah kolektivního vyjednávání v České republice. Cílem šetření je poskytovat státu a dalším institucím (ČNB, VÚPSV apod.) přehled o trendech kolektivního vyjednávání a smluvním partnerům odpovídající informace pro další vyjednávání na podnikové úrovni nebo při vyjednávání kolektivní smlouvy vyššího stupně.</w:t>
      </w:r>
    </w:p>
    <w:p w14:paraId="04326204" w14:textId="77777777" w:rsidR="001D015C" w:rsidRDefault="001D015C" w:rsidP="001D015C">
      <w:pPr>
        <w:jc w:val="both"/>
        <w:rPr>
          <w:rFonts w:ascii="Arial" w:hAnsi="Arial" w:cs="Arial"/>
          <w:color w:val="000000"/>
        </w:rPr>
      </w:pPr>
    </w:p>
    <w:p w14:paraId="1BE6F65E" w14:textId="0663ABAE" w:rsidR="001D015C" w:rsidRDefault="001D015C" w:rsidP="001D015C">
      <w:pPr>
        <w:jc w:val="both"/>
        <w:rPr>
          <w:rFonts w:ascii="Arial" w:hAnsi="Arial" w:cs="Arial"/>
        </w:rPr>
      </w:pPr>
      <w:bookmarkStart w:id="0" w:name="RANGE!A7"/>
      <w:r>
        <w:rPr>
          <w:rFonts w:ascii="Arial" w:hAnsi="Arial" w:cs="Arial"/>
        </w:rPr>
        <w:t xml:space="preserve">K průběhu šetření a k výstupům se vyjadřuje komise, složená ze zástupců Ministerstva práce a sociálních věcí, Českého statistického úřadu, Ministerstva financí, České národní banky, Českomoravské konfederace odborových svazů, Svazu průmyslu a dopravy ČR, CERGE EI, VŠE v Praze a dalších institucí. Zpracovatelem IPP je společnost </w:t>
      </w:r>
      <w:hyperlink r:id="rId8" w:history="1">
        <w:r w:rsidRPr="00830079">
          <w:rPr>
            <w:rStyle w:val="Hypertextovodkaz"/>
            <w:rFonts w:ascii="Arial" w:hAnsi="Arial" w:cs="Arial"/>
          </w:rPr>
          <w:t>TREXIMA, spol. s r.o.</w:t>
        </w:r>
        <w:bookmarkEnd w:id="0"/>
      </w:hyperlink>
    </w:p>
    <w:p w14:paraId="06862F7F" w14:textId="77777777" w:rsidR="001D015C" w:rsidRDefault="001D015C" w:rsidP="001D015C">
      <w:pPr>
        <w:jc w:val="both"/>
        <w:rPr>
          <w:rFonts w:ascii="Arial" w:hAnsi="Arial" w:cs="Arial"/>
        </w:rPr>
      </w:pPr>
    </w:p>
    <w:p w14:paraId="64D8C937" w14:textId="7FAC8227" w:rsidR="001D015C" w:rsidRDefault="001D015C" w:rsidP="001D015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se zaměřuje na ujednání sociálních partnerů v oblasti:</w:t>
      </w:r>
    </w:p>
    <w:p w14:paraId="6BAC3804" w14:textId="61406F98" w:rsidR="001D015C" w:rsidRPr="00BA2873" w:rsidRDefault="001D015C" w:rsidP="00BA287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A2873">
        <w:rPr>
          <w:rFonts w:ascii="Arial" w:hAnsi="Arial" w:cs="Arial"/>
          <w:color w:val="000000"/>
        </w:rPr>
        <w:t>spolupráce smluvních stran</w:t>
      </w:r>
    </w:p>
    <w:p w14:paraId="48EDE704" w14:textId="13507346" w:rsidR="001D015C" w:rsidRPr="00BA2873" w:rsidRDefault="001D015C" w:rsidP="00BA287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A2873">
        <w:rPr>
          <w:rFonts w:ascii="Arial" w:hAnsi="Arial" w:cs="Arial"/>
          <w:color w:val="000000"/>
        </w:rPr>
        <w:t>odměňování zaměstnanců</w:t>
      </w:r>
    </w:p>
    <w:p w14:paraId="69C45E24" w14:textId="64C013FE" w:rsidR="001D015C" w:rsidRPr="00BA2873" w:rsidRDefault="001D015C" w:rsidP="00BA287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A2873">
        <w:rPr>
          <w:rFonts w:ascii="Arial" w:hAnsi="Arial" w:cs="Arial"/>
          <w:color w:val="000000"/>
        </w:rPr>
        <w:t>délky pracovní doby, forem práce, prodloužení dovolené, změn pracovního poměru</w:t>
      </w:r>
    </w:p>
    <w:p w14:paraId="2D5C752E" w14:textId="030DD49C" w:rsidR="001D015C" w:rsidRPr="00BA2873" w:rsidRDefault="001D015C" w:rsidP="00BA287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A2873">
        <w:rPr>
          <w:rFonts w:ascii="Arial" w:hAnsi="Arial" w:cs="Arial"/>
          <w:color w:val="000000"/>
        </w:rPr>
        <w:t xml:space="preserve">zaměstnanosti a odborného rozvoje zaměstnanců </w:t>
      </w:r>
    </w:p>
    <w:p w14:paraId="4F0820FB" w14:textId="0D253B17" w:rsidR="001D015C" w:rsidRPr="00BA2873" w:rsidRDefault="001D015C" w:rsidP="00BA287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A2873">
        <w:rPr>
          <w:rFonts w:ascii="Arial" w:hAnsi="Arial" w:cs="Arial"/>
          <w:color w:val="000000"/>
        </w:rPr>
        <w:t>pracovních podmínek zaměstnanců a poskytování benefitů</w:t>
      </w:r>
    </w:p>
    <w:p w14:paraId="05E60AAA" w14:textId="592CBE40" w:rsidR="001D015C" w:rsidRPr="00BA2873" w:rsidRDefault="001D015C" w:rsidP="00BA287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A2873">
        <w:rPr>
          <w:rFonts w:ascii="Arial" w:hAnsi="Arial" w:cs="Arial"/>
          <w:color w:val="000000"/>
        </w:rPr>
        <w:t>odborného rozvoje zaměstnanců, rovného zacházení a BOZP</w:t>
      </w:r>
    </w:p>
    <w:p w14:paraId="6533C830" w14:textId="77777777" w:rsidR="001D015C" w:rsidRDefault="001D015C" w:rsidP="001D015C">
      <w:pPr>
        <w:jc w:val="both"/>
        <w:rPr>
          <w:rFonts w:ascii="Arial" w:hAnsi="Arial" w:cs="Arial"/>
          <w:color w:val="000000"/>
        </w:rPr>
      </w:pPr>
    </w:p>
    <w:p w14:paraId="0E93CEA1" w14:textId="1BDA098C" w:rsidR="001D015C" w:rsidRDefault="001D015C" w:rsidP="00B56CCA">
      <w:pPr>
        <w:jc w:val="both"/>
        <w:rPr>
          <w:rFonts w:ascii="Arial" w:hAnsi="Arial" w:cs="Arial"/>
          <w:color w:val="000000"/>
        </w:rPr>
      </w:pPr>
      <w:bookmarkStart w:id="1" w:name="RANGE!A17"/>
      <w:r>
        <w:rPr>
          <w:rFonts w:ascii="Arial" w:hAnsi="Arial" w:cs="Arial"/>
          <w:color w:val="000000"/>
        </w:rPr>
        <w:t>Šetření IPP monitoruje podnikové kolektivní smlouvy a kolektivní smlouvy vyššího stupně. U podnikových kolektivních smluv je nejdůležitějším kritériem pro členění výsledků příslušnost šetřeného ekonomického subjektu k podnikatelské, nebo nepodnikatelské sféře. Do podnikatelské sféry se zařazují ekonomické subjekty, které odměňují mzdou podle § 109 odst. 2 zákona č. 262/2006 Sb. zákoníku práce (ZP), do nepodnikatelské sféry organizace, které odměňují platem podle § 109 odst. 3 ZP, ve znění pozdějších předpisů. Vstupní data jsou získávána elektronicky pomocí pořizovacího programu „EKS“, nebo přímým sběrem kolektivních smluv.</w:t>
      </w:r>
      <w:bookmarkEnd w:id="1"/>
    </w:p>
    <w:p w14:paraId="576AAD42" w14:textId="77777777" w:rsidR="001D015C" w:rsidRDefault="001D015C" w:rsidP="00B56CCA">
      <w:pPr>
        <w:jc w:val="both"/>
        <w:rPr>
          <w:rFonts w:ascii="Arial" w:hAnsi="Arial" w:cs="Arial"/>
          <w:color w:val="000000"/>
        </w:rPr>
      </w:pPr>
    </w:p>
    <w:p w14:paraId="3285B4B7" w14:textId="29020848" w:rsidR="001D015C" w:rsidRDefault="001D015C" w:rsidP="00B56CC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roce 2022 byly v rámci šetření analyzovány vybrané údaje o mzdových a pracovních podmínkách z 1 764 podnikových kolektivních smluv z 28 odborových svazů (OS), které zastupovaly přibližně 813 tis. zaměstnanců. Dále bylo v roce 2022 analyzováno a </w:t>
      </w:r>
      <w:r w:rsidRPr="009F14EF">
        <w:rPr>
          <w:rFonts w:ascii="Arial" w:hAnsi="Arial" w:cs="Arial"/>
        </w:rPr>
        <w:t xml:space="preserve">vyhodnoceno </w:t>
      </w:r>
      <w:r w:rsidR="00E87C7E" w:rsidRPr="009F14EF">
        <w:rPr>
          <w:rFonts w:ascii="Arial" w:hAnsi="Arial" w:cs="Arial"/>
        </w:rPr>
        <w:t xml:space="preserve">20 </w:t>
      </w:r>
      <w:r w:rsidRPr="009F14EF">
        <w:rPr>
          <w:rFonts w:ascii="Arial" w:hAnsi="Arial" w:cs="Arial"/>
        </w:rPr>
        <w:t xml:space="preserve">kolektivních </w:t>
      </w:r>
      <w:r>
        <w:rPr>
          <w:rFonts w:ascii="Arial" w:hAnsi="Arial" w:cs="Arial"/>
          <w:color w:val="000000"/>
        </w:rPr>
        <w:t>smluv vyššího stupně, či jejich dodatků.</w:t>
      </w:r>
    </w:p>
    <w:p w14:paraId="4E728DFF" w14:textId="5BB78083" w:rsidR="00BA2873" w:rsidRDefault="00BA287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BBE4E59" w14:textId="2FEFE357" w:rsidR="001D015C" w:rsidRDefault="001D015C" w:rsidP="009D14DA">
      <w:pPr>
        <w:pStyle w:val="Odstavecseseznamem"/>
        <w:numPr>
          <w:ilvl w:val="0"/>
          <w:numId w:val="9"/>
        </w:numPr>
        <w:spacing w:before="240"/>
        <w:ind w:left="357" w:hanging="357"/>
        <w:contextualSpacing w:val="0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lastRenderedPageBreak/>
        <w:t>Úloha kolektivního vyjednávání</w:t>
      </w:r>
    </w:p>
    <w:p w14:paraId="6ED07695" w14:textId="77777777" w:rsidR="001D015C" w:rsidRDefault="001D015C" w:rsidP="00B56CCA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4E62328E" w14:textId="48B553AF" w:rsidR="001D015C" w:rsidRDefault="001D015C" w:rsidP="00FA64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Cílem kolektivního vyjednávání je dohodnout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pracovní podmínky zaměstnanců (včetně odměňování) a upravit vztahy mezi zaměstnavatelem a odborovou organizací (zástupcem zaměstnanců) působící v organizaci (např. rozsah poskytovaných informací, formy projednávání důležitých otázek atd.) s cílem zajištění podnikového, odvětvového a celostátního sociálního smíru. Pro dosažení těchto cílů, potřebují stát (který nastavuje minimální standardy) a obě smluvní strany komplexní a kvalitní informační základnu, která umožní jak srovnání s okolím, tak i s ekonomickými možnostmi zaměstnavatele. Posláním kolektivní smlouvy (KS) je vytvořit takové podmínky, které pomohou samotné firmě nebo instituci zajistit stabilitu a umožní jí koncentrovat se na její strategické cíle. Zaměstnancům KS přináší garanci mzdových a pracovních podmínek.</w:t>
      </w:r>
    </w:p>
    <w:p w14:paraId="283A5850" w14:textId="77777777" w:rsidR="001D015C" w:rsidRDefault="001D015C" w:rsidP="00FA6447">
      <w:pPr>
        <w:jc w:val="both"/>
        <w:rPr>
          <w:rFonts w:ascii="Arial" w:hAnsi="Arial" w:cs="Arial"/>
          <w:color w:val="000000"/>
        </w:rPr>
      </w:pPr>
    </w:p>
    <w:p w14:paraId="615AD006" w14:textId="29B4ABC3" w:rsidR="001D015C" w:rsidRDefault="001D015C" w:rsidP="00FA64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Důležitou část kolektivního vyjednávání </w:t>
      </w:r>
      <w:proofErr w:type="gramStart"/>
      <w:r>
        <w:rPr>
          <w:rFonts w:ascii="Arial" w:hAnsi="Arial" w:cs="Arial"/>
          <w:color w:val="000000"/>
        </w:rPr>
        <w:t>tvoří</w:t>
      </w:r>
      <w:proofErr w:type="gramEnd"/>
      <w:r>
        <w:rPr>
          <w:rFonts w:ascii="Arial" w:hAnsi="Arial" w:cs="Arial"/>
          <w:color w:val="000000"/>
        </w:rPr>
        <w:t xml:space="preserve"> kolektivní smlouvy vyššího stupně a rozšiřování jejich závaznosti na zaměstnavatele v příslušném odvětví. Tento institut </w:t>
      </w:r>
      <w:proofErr w:type="gramStart"/>
      <w:r>
        <w:rPr>
          <w:rFonts w:ascii="Arial" w:hAnsi="Arial" w:cs="Arial"/>
          <w:color w:val="000000"/>
        </w:rPr>
        <w:t>slouží</w:t>
      </w:r>
      <w:proofErr w:type="gramEnd"/>
      <w:r>
        <w:rPr>
          <w:rFonts w:ascii="Arial" w:hAnsi="Arial" w:cs="Arial"/>
          <w:color w:val="000000"/>
        </w:rPr>
        <w:t xml:space="preserve"> především k tomu, aby nedocházelo k neodůvodněné konkurenční výhodě u obdobných zaměstnavatelů prostřednictvím podstatně výhodnější ceny práce na úkor svých zaměstnanců. Zároveň je rozšiřování závaznosti kolektivních smluv vyššího stupně uznáváno jako opatření státu na podporu kolektivního vyjednávání podle Úmluv a Doporučení Mezinárodní organizace práce.</w:t>
      </w:r>
    </w:p>
    <w:p w14:paraId="73EB63A6" w14:textId="77777777" w:rsidR="001D015C" w:rsidRDefault="001D015C" w:rsidP="00FA6447">
      <w:pPr>
        <w:jc w:val="both"/>
        <w:rPr>
          <w:rFonts w:ascii="Arial" w:hAnsi="Arial" w:cs="Arial"/>
          <w:color w:val="000000"/>
        </w:rPr>
      </w:pPr>
    </w:p>
    <w:p w14:paraId="285ABF9B" w14:textId="78CBFA37" w:rsidR="001D015C" w:rsidRPr="009D14DA" w:rsidRDefault="001D015C" w:rsidP="009D14DA">
      <w:pPr>
        <w:pStyle w:val="Odstavecseseznamem"/>
        <w:numPr>
          <w:ilvl w:val="0"/>
          <w:numId w:val="9"/>
        </w:numPr>
        <w:spacing w:before="240"/>
        <w:ind w:left="357" w:hanging="357"/>
        <w:contextualSpacing w:val="0"/>
        <w:rPr>
          <w:rFonts w:ascii="Arial" w:hAnsi="Arial" w:cs="Arial"/>
          <w:b/>
          <w:bCs/>
          <w:color w:val="000CC7"/>
          <w:sz w:val="28"/>
          <w:szCs w:val="28"/>
        </w:rPr>
      </w:pPr>
      <w:bookmarkStart w:id="2" w:name="RANGE!A27"/>
      <w:r w:rsidRPr="009D14DA">
        <w:rPr>
          <w:rFonts w:ascii="Arial" w:hAnsi="Arial" w:cs="Arial"/>
          <w:b/>
          <w:bCs/>
          <w:color w:val="000CC7"/>
          <w:sz w:val="28"/>
          <w:szCs w:val="28"/>
        </w:rPr>
        <w:t>Výsledky šetření za rok 2022, vycházející ze vzorku 1 276 podnikových kolektivních smluv podnikatelské sféry</w:t>
      </w:r>
      <w:bookmarkEnd w:id="2"/>
    </w:p>
    <w:p w14:paraId="3C757127" w14:textId="77777777" w:rsidR="001D015C" w:rsidRDefault="001D015C" w:rsidP="00FA6447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0082C8D4" w14:textId="77777777" w:rsidR="001D015C" w:rsidRDefault="001D015C" w:rsidP="00FA6447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Odměňování – minimální měsíční mzdové tarify</w:t>
      </w:r>
    </w:p>
    <w:p w14:paraId="345F1075" w14:textId="77777777" w:rsidR="001D015C" w:rsidRDefault="001D015C" w:rsidP="00FA6447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3E072F1F" w14:textId="7D430C06" w:rsidR="001D015C" w:rsidRDefault="001D015C" w:rsidP="00FA64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Měsíční mzdové tarify byly v letošním roce sjednány v méně než 42 % podnikových kolektivních smluv (PKS). Protože někteří zaměstnavatelé sjednávají v PKS mzdové tarify s rozpětím, sleduje šetření o pracovních podmínkách pouze nejnižší hodnotu příslušného tarifního stupně.</w:t>
      </w:r>
    </w:p>
    <w:p w14:paraId="34A79CB4" w14:textId="768308DF" w:rsidR="001D015C" w:rsidRPr="00224AE3" w:rsidRDefault="001D015C" w:rsidP="00E50F7F">
      <w:pPr>
        <w:jc w:val="both"/>
        <w:rPr>
          <w:rFonts w:ascii="Arial" w:hAnsi="Arial" w:cs="Arial"/>
          <w:color w:val="000000"/>
        </w:rPr>
      </w:pPr>
      <w:bookmarkStart w:id="3" w:name="RANGE!A32"/>
      <w:r w:rsidRPr="00E50F7F">
        <w:rPr>
          <w:rFonts w:ascii="Arial" w:hAnsi="Arial" w:cs="Arial"/>
          <w:color w:val="000000"/>
        </w:rPr>
        <w:t>Výsledky šetření z podnikových kolektivních smluv v letošním roce ukázaly, že ve srovnání s rokem 2021 došlo ke změně dynamiky meziročního srovnání vývoje měsíčních mzdových tarifů sjednaných pro 12stupňový tarifní systém. Zatímco v roce 2021 se dynamika vývoje pohybovala v rozmezí od 5,5 % do 6,6 </w:t>
      </w:r>
      <w:r w:rsidRPr="0036168F">
        <w:rPr>
          <w:rFonts w:ascii="Arial" w:hAnsi="Arial" w:cs="Arial"/>
          <w:color w:val="000000"/>
        </w:rPr>
        <w:t xml:space="preserve">%, </w:t>
      </w:r>
      <w:r w:rsidRPr="00334B7F">
        <w:rPr>
          <w:rFonts w:ascii="Arial" w:hAnsi="Arial" w:cs="Arial"/>
        </w:rPr>
        <w:t>kdy byl nejvyšší nárůst mzdových tarifů zaznamenán u </w:t>
      </w:r>
      <w:r w:rsidR="0036168F" w:rsidRPr="00334B7F">
        <w:rPr>
          <w:rFonts w:ascii="Arial" w:hAnsi="Arial" w:cs="Arial"/>
        </w:rPr>
        <w:t>zaměstnanců s nejvyššími příjmy</w:t>
      </w:r>
      <w:r w:rsidRPr="00334B7F">
        <w:rPr>
          <w:rFonts w:ascii="Arial" w:hAnsi="Arial" w:cs="Arial"/>
        </w:rPr>
        <w:t xml:space="preserve">, </w:t>
      </w:r>
      <w:r w:rsidRPr="00334B7F">
        <w:rPr>
          <w:rFonts w:ascii="Arial" w:hAnsi="Arial" w:cs="Arial"/>
          <w:b/>
        </w:rPr>
        <w:t>v roce 2022</w:t>
      </w:r>
      <w:r w:rsidRPr="00334B7F">
        <w:rPr>
          <w:rFonts w:ascii="Arial" w:hAnsi="Arial" w:cs="Arial"/>
        </w:rPr>
        <w:t xml:space="preserve"> se </w:t>
      </w:r>
      <w:r w:rsidRPr="00334B7F">
        <w:rPr>
          <w:rFonts w:ascii="Arial" w:hAnsi="Arial" w:cs="Arial"/>
          <w:b/>
        </w:rPr>
        <w:t>růst dynamiky mírně zpomalil</w:t>
      </w:r>
      <w:r w:rsidRPr="00334B7F">
        <w:rPr>
          <w:rFonts w:ascii="Arial" w:hAnsi="Arial" w:cs="Arial"/>
        </w:rPr>
        <w:t xml:space="preserve"> a </w:t>
      </w:r>
      <w:r w:rsidRPr="00334B7F">
        <w:rPr>
          <w:rFonts w:ascii="Arial" w:hAnsi="Arial" w:cs="Arial"/>
          <w:b/>
        </w:rPr>
        <w:t>dosahuje úrovně od 4,7 % do 5,7 %</w:t>
      </w:r>
      <w:r w:rsidRPr="00334B7F">
        <w:rPr>
          <w:rFonts w:ascii="Arial" w:hAnsi="Arial" w:cs="Arial"/>
        </w:rPr>
        <w:t>. V letošním roce vykazuje dynamika růstovou tendenci ve všech tarifních stupních, kdy je nejvyšší nárůst mzdových tarifů zaznamenán u </w:t>
      </w:r>
      <w:r w:rsidR="00224AE3" w:rsidRPr="00334B7F">
        <w:rPr>
          <w:rFonts w:ascii="Arial" w:hAnsi="Arial" w:cs="Arial"/>
        </w:rPr>
        <w:t>nízkopříjmových zaměstnanců</w:t>
      </w:r>
      <w:r w:rsidRPr="00334B7F">
        <w:rPr>
          <w:rFonts w:ascii="Arial" w:hAnsi="Arial" w:cs="Arial"/>
        </w:rPr>
        <w:t>.</w:t>
      </w:r>
      <w:bookmarkEnd w:id="3"/>
    </w:p>
    <w:p w14:paraId="1D337EDC" w14:textId="77777777" w:rsidR="001D015C" w:rsidRPr="00E50F7F" w:rsidRDefault="001D015C" w:rsidP="00E50F7F">
      <w:pPr>
        <w:jc w:val="both"/>
        <w:rPr>
          <w:rFonts w:ascii="Arial" w:hAnsi="Arial" w:cs="Arial"/>
          <w:color w:val="000000"/>
        </w:rPr>
      </w:pPr>
    </w:p>
    <w:p w14:paraId="5B966CC0" w14:textId="06D13CD2" w:rsidR="001D015C" w:rsidRDefault="001D015C" w:rsidP="00E50F7F">
      <w:pPr>
        <w:jc w:val="both"/>
        <w:rPr>
          <w:rFonts w:ascii="Arial" w:hAnsi="Arial" w:cs="Arial"/>
          <w:color w:val="000000"/>
        </w:rPr>
      </w:pPr>
      <w:r w:rsidRPr="00E50F7F">
        <w:rPr>
          <w:rFonts w:ascii="Arial" w:hAnsi="Arial" w:cs="Arial"/>
          <w:color w:val="000000"/>
        </w:rPr>
        <w:t>Analýza dále ukázala, že výše minimálních měsíčních mzdových tarifů je v jednotlivých odborových svazech značně odlišná. Zatímco výše tarifní mzdy u zaměstnavatelů v působnosti OS UNIOS dosahuje ve 12. tarifním stupni pouze 25 326 Kč/</w:t>
      </w:r>
      <w:proofErr w:type="spellStart"/>
      <w:r w:rsidRPr="00E50F7F">
        <w:rPr>
          <w:rFonts w:ascii="Arial" w:hAnsi="Arial" w:cs="Arial"/>
          <w:color w:val="000000"/>
        </w:rPr>
        <w:t>měs</w:t>
      </w:r>
      <w:proofErr w:type="spellEnd"/>
      <w:r w:rsidRPr="00E50F7F">
        <w:rPr>
          <w:rFonts w:ascii="Arial" w:hAnsi="Arial" w:cs="Arial"/>
          <w:color w:val="000000"/>
        </w:rPr>
        <w:t>, zaměstnancům OS Hornictví, geologie a naftového průmyslu je v tomto tarifním stupni vyplácena mzda o cca 94 % vyšší (49 073 Kč/</w:t>
      </w:r>
      <w:proofErr w:type="spellStart"/>
      <w:r w:rsidRPr="00E50F7F">
        <w:rPr>
          <w:rFonts w:ascii="Arial" w:hAnsi="Arial" w:cs="Arial"/>
          <w:color w:val="000000"/>
        </w:rPr>
        <w:t>měs</w:t>
      </w:r>
      <w:proofErr w:type="spellEnd"/>
      <w:r w:rsidRPr="00E50F7F">
        <w:rPr>
          <w:rFonts w:ascii="Arial" w:hAnsi="Arial" w:cs="Arial"/>
          <w:color w:val="000000"/>
        </w:rPr>
        <w:t>).</w:t>
      </w:r>
    </w:p>
    <w:p w14:paraId="34D6EFBF" w14:textId="1EDF7879" w:rsidR="009D14DA" w:rsidRDefault="009D14D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4B83EBD" w14:textId="77777777" w:rsidR="001D015C" w:rsidRDefault="001D015C" w:rsidP="007A3E45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lastRenderedPageBreak/>
        <w:t>Mzdový vývoj</w:t>
      </w:r>
    </w:p>
    <w:p w14:paraId="1B4BB606" w14:textId="77777777" w:rsidR="001D015C" w:rsidRDefault="001D015C" w:rsidP="007A3E45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7C3DC3C9" w14:textId="01861379" w:rsidR="004F0CDA" w:rsidRDefault="001D015C" w:rsidP="007A3E45">
      <w:pPr>
        <w:jc w:val="both"/>
        <w:rPr>
          <w:rFonts w:ascii="Arial" w:hAnsi="Arial" w:cs="Arial"/>
          <w:color w:val="000000"/>
        </w:rPr>
      </w:pPr>
      <w:bookmarkStart w:id="4" w:name="RANGE!A38"/>
      <w:r>
        <w:rPr>
          <w:rFonts w:ascii="Arial" w:hAnsi="Arial" w:cs="Arial"/>
          <w:color w:val="000000"/>
        </w:rPr>
        <w:t xml:space="preserve">Více než </w:t>
      </w:r>
      <w:r w:rsidRPr="001D015C">
        <w:rPr>
          <w:rFonts w:ascii="Arial" w:hAnsi="Arial" w:cs="Arial"/>
          <w:b/>
          <w:color w:val="000000"/>
        </w:rPr>
        <w:t>71 %</w:t>
      </w:r>
      <w:r>
        <w:rPr>
          <w:rFonts w:ascii="Arial" w:hAnsi="Arial" w:cs="Arial"/>
          <w:color w:val="000000"/>
        </w:rPr>
        <w:t xml:space="preserve"> analyzovaných </w:t>
      </w:r>
      <w:r w:rsidRPr="001D015C">
        <w:rPr>
          <w:rFonts w:ascii="Arial" w:hAnsi="Arial" w:cs="Arial"/>
          <w:b/>
          <w:color w:val="000000"/>
        </w:rPr>
        <w:t xml:space="preserve">podnikových kolektivních smluv </w:t>
      </w:r>
      <w:proofErr w:type="gramStart"/>
      <w:r w:rsidRPr="001D015C">
        <w:rPr>
          <w:rFonts w:ascii="Arial" w:hAnsi="Arial" w:cs="Arial"/>
          <w:b/>
          <w:color w:val="000000"/>
        </w:rPr>
        <w:t>řeší</w:t>
      </w:r>
      <w:proofErr w:type="gramEnd"/>
      <w:r w:rsidRPr="001D015C">
        <w:rPr>
          <w:rFonts w:ascii="Arial" w:hAnsi="Arial" w:cs="Arial"/>
          <w:b/>
          <w:color w:val="000000"/>
        </w:rPr>
        <w:t xml:space="preserve"> oblast mzdového vývoje</w:t>
      </w:r>
      <w:r>
        <w:rPr>
          <w:rFonts w:ascii="Arial" w:hAnsi="Arial" w:cs="Arial"/>
          <w:color w:val="000000"/>
        </w:rPr>
        <w:t xml:space="preserve">, z toho 0,2 % PKS formou udržení průměrné mzdy. </w:t>
      </w:r>
      <w:r w:rsidRPr="001D015C">
        <w:rPr>
          <w:rFonts w:ascii="Arial" w:hAnsi="Arial" w:cs="Arial"/>
          <w:b/>
          <w:color w:val="000000"/>
        </w:rPr>
        <w:t>Růst</w:t>
      </w:r>
      <w:r>
        <w:rPr>
          <w:rFonts w:ascii="Arial" w:hAnsi="Arial" w:cs="Arial"/>
          <w:color w:val="000000"/>
        </w:rPr>
        <w:t xml:space="preserve"> některé z forem </w:t>
      </w:r>
      <w:r w:rsidRPr="001D015C">
        <w:rPr>
          <w:rFonts w:ascii="Arial" w:hAnsi="Arial" w:cs="Arial"/>
          <w:b/>
          <w:color w:val="000000"/>
        </w:rPr>
        <w:t xml:space="preserve">mezd </w:t>
      </w:r>
      <w:proofErr w:type="gramStart"/>
      <w:r w:rsidRPr="001D015C">
        <w:rPr>
          <w:rFonts w:ascii="Arial" w:hAnsi="Arial" w:cs="Arial"/>
          <w:b/>
          <w:color w:val="000000"/>
        </w:rPr>
        <w:t>řeší</w:t>
      </w:r>
      <w:proofErr w:type="gramEnd"/>
      <w:r>
        <w:rPr>
          <w:rFonts w:ascii="Arial" w:hAnsi="Arial" w:cs="Arial"/>
          <w:color w:val="000000"/>
        </w:rPr>
        <w:t xml:space="preserve"> v letošním roce </w:t>
      </w:r>
      <w:r w:rsidRPr="001D015C">
        <w:rPr>
          <w:rFonts w:ascii="Arial" w:hAnsi="Arial" w:cs="Arial"/>
          <w:b/>
          <w:color w:val="000000"/>
        </w:rPr>
        <w:t>70,8 % PKS</w:t>
      </w:r>
      <w:r>
        <w:rPr>
          <w:rFonts w:ascii="Arial" w:hAnsi="Arial" w:cs="Arial"/>
          <w:color w:val="000000"/>
        </w:rPr>
        <w:t xml:space="preserve">, což činí ve srovnání s rokem 2021 </w:t>
      </w:r>
      <w:r w:rsidRPr="001D015C">
        <w:rPr>
          <w:rFonts w:ascii="Arial" w:hAnsi="Arial" w:cs="Arial"/>
          <w:b/>
          <w:color w:val="000000"/>
        </w:rPr>
        <w:t>zvýšení počtu PKS o 8,2 p. b.</w:t>
      </w:r>
      <w:r>
        <w:rPr>
          <w:rFonts w:ascii="Arial" w:hAnsi="Arial" w:cs="Arial"/>
          <w:color w:val="000000"/>
        </w:rPr>
        <w:t xml:space="preserve"> Růst mezd není v podnikových kolektivních smlouvách vyjádřen jediným údajem, ale je sjednán několika různými formami – zvýšením průměrné nominální mzdy (19,7 % PKS), zvýšením mzdových tarifů (45,6 % PKS), udržením reálné mzdy (9,7 % PKS), zvýšením celkového objemu mzdových prostředků (10,7 % PKS), nebo zvýšením průměrné reálné mzdy (1,1 % PKS). Analýza údajů ukázala, že v roce 2022 bylo v podnikových kolektivních smlouvách, upravujících růst mezd formou </w:t>
      </w:r>
      <w:r w:rsidRPr="001D015C">
        <w:rPr>
          <w:rFonts w:ascii="Arial" w:hAnsi="Arial" w:cs="Arial"/>
          <w:b/>
          <w:color w:val="000000"/>
        </w:rPr>
        <w:t>navýšení průměrné nominální mzdy</w:t>
      </w:r>
      <w:r>
        <w:rPr>
          <w:rFonts w:ascii="Arial" w:hAnsi="Arial" w:cs="Arial"/>
          <w:color w:val="000000"/>
        </w:rPr>
        <w:t xml:space="preserve">, dohodnuto zvýšení </w:t>
      </w:r>
      <w:r w:rsidRPr="001D015C">
        <w:rPr>
          <w:rFonts w:ascii="Arial" w:hAnsi="Arial" w:cs="Arial"/>
          <w:b/>
          <w:color w:val="000000"/>
        </w:rPr>
        <w:t>o 4,4 %</w:t>
      </w:r>
      <w:r>
        <w:rPr>
          <w:rFonts w:ascii="Arial" w:hAnsi="Arial" w:cs="Arial"/>
          <w:color w:val="000000"/>
        </w:rPr>
        <w:t xml:space="preserve">. V PKS, kde sociální partneři upravují vývoj mezd formou </w:t>
      </w:r>
      <w:r w:rsidRPr="001D015C">
        <w:rPr>
          <w:rFonts w:ascii="Arial" w:hAnsi="Arial" w:cs="Arial"/>
          <w:b/>
          <w:color w:val="000000"/>
        </w:rPr>
        <w:t>zvýšení mzdových tarifů, činí</w:t>
      </w:r>
      <w:r>
        <w:rPr>
          <w:rFonts w:ascii="Arial" w:hAnsi="Arial" w:cs="Arial"/>
          <w:color w:val="000000"/>
        </w:rPr>
        <w:t xml:space="preserve"> průměrný sjednaný nárůst </w:t>
      </w:r>
      <w:r w:rsidRPr="001D015C">
        <w:rPr>
          <w:rFonts w:ascii="Arial" w:hAnsi="Arial" w:cs="Arial"/>
          <w:b/>
          <w:color w:val="000000"/>
        </w:rPr>
        <w:t>5,0 %</w:t>
      </w:r>
      <w:r>
        <w:rPr>
          <w:rFonts w:ascii="Arial" w:hAnsi="Arial" w:cs="Arial"/>
          <w:color w:val="000000"/>
        </w:rPr>
        <w:t xml:space="preserve">. U smluv, ve kterých je mzdový vývoj sjednán formou </w:t>
      </w:r>
      <w:r w:rsidRPr="001D015C">
        <w:rPr>
          <w:rFonts w:ascii="Arial" w:hAnsi="Arial" w:cs="Arial"/>
          <w:b/>
          <w:color w:val="000000"/>
        </w:rPr>
        <w:t xml:space="preserve">zvýšení průměrné reálné mzdy, </w:t>
      </w:r>
      <w:r w:rsidRPr="00B16A27">
        <w:rPr>
          <w:rFonts w:ascii="Arial" w:hAnsi="Arial" w:cs="Arial"/>
          <w:b/>
        </w:rPr>
        <w:t>činí</w:t>
      </w:r>
      <w:r w:rsidRPr="00B16A27">
        <w:rPr>
          <w:rFonts w:ascii="Arial" w:hAnsi="Arial" w:cs="Arial"/>
        </w:rPr>
        <w:t xml:space="preserve"> průměrný </w:t>
      </w:r>
      <w:r w:rsidRPr="00334B7F">
        <w:rPr>
          <w:rFonts w:ascii="Arial" w:hAnsi="Arial" w:cs="Arial"/>
        </w:rPr>
        <w:t xml:space="preserve">sjednaný nárůst </w:t>
      </w:r>
      <w:r w:rsidRPr="00334B7F">
        <w:rPr>
          <w:rFonts w:ascii="Arial" w:hAnsi="Arial" w:cs="Arial"/>
          <w:b/>
        </w:rPr>
        <w:t>2,0 %</w:t>
      </w:r>
      <w:r w:rsidRPr="00334B7F">
        <w:rPr>
          <w:rFonts w:ascii="Arial" w:hAnsi="Arial" w:cs="Arial"/>
        </w:rPr>
        <w:t xml:space="preserve">. </w:t>
      </w:r>
      <w:bookmarkEnd w:id="4"/>
      <w:r w:rsidR="004F0CDA" w:rsidRPr="00334B7F">
        <w:rPr>
          <w:rFonts w:ascii="Arial" w:hAnsi="Arial" w:cs="Arial"/>
        </w:rPr>
        <w:t>V</w:t>
      </w:r>
      <w:r w:rsidR="004F0CDA" w:rsidRPr="00334B7F">
        <w:rPr>
          <w:rFonts w:ascii="Arial" w:hAnsi="Arial" w:cs="Arial"/>
          <w:b/>
        </w:rPr>
        <w:t> </w:t>
      </w:r>
      <w:r w:rsidR="004F0CDA" w:rsidRPr="00334B7F">
        <w:rPr>
          <w:rFonts w:ascii="Arial" w:hAnsi="Arial" w:cs="Arial"/>
        </w:rPr>
        <w:t xml:space="preserve">letošním roce tak zůstal zachován nárůst průměrné reálné mzdy přibližně ve stejné úrovni, jako v roce 2021, zatímco </w:t>
      </w:r>
      <w:r w:rsidR="004F0CDA" w:rsidRPr="00334B7F">
        <w:rPr>
          <w:rFonts w:ascii="Arial" w:hAnsi="Arial" w:cs="Arial"/>
          <w:bCs/>
          <w:iCs/>
        </w:rPr>
        <w:t>průměrná nominální mzda</w:t>
      </w:r>
      <w:r w:rsidR="005C56A1" w:rsidRPr="00334B7F">
        <w:rPr>
          <w:rFonts w:ascii="Arial" w:hAnsi="Arial" w:cs="Arial"/>
          <w:bCs/>
          <w:iCs/>
        </w:rPr>
        <w:t xml:space="preserve"> a</w:t>
      </w:r>
      <w:r w:rsidR="005C56A1" w:rsidRPr="00334B7F">
        <w:rPr>
          <w:rFonts w:ascii="Arial" w:hAnsi="Arial" w:cs="Arial"/>
        </w:rPr>
        <w:t xml:space="preserve"> mzdové tarify</w:t>
      </w:r>
      <w:r w:rsidR="004F0CDA" w:rsidRPr="00334B7F">
        <w:rPr>
          <w:rFonts w:ascii="Arial" w:hAnsi="Arial" w:cs="Arial"/>
          <w:bCs/>
          <w:iCs/>
        </w:rPr>
        <w:t xml:space="preserve"> </w:t>
      </w:r>
      <w:r w:rsidR="005C56A1" w:rsidRPr="00334B7F">
        <w:rPr>
          <w:rFonts w:ascii="Arial" w:hAnsi="Arial" w:cs="Arial"/>
        </w:rPr>
        <w:t xml:space="preserve">vzrostly </w:t>
      </w:r>
      <w:r w:rsidR="004F0CDA" w:rsidRPr="00334B7F">
        <w:rPr>
          <w:rFonts w:ascii="Arial" w:hAnsi="Arial" w:cs="Arial"/>
          <w:bCs/>
          <w:iCs/>
        </w:rPr>
        <w:t>o 1,2 p. b.</w:t>
      </w:r>
    </w:p>
    <w:p w14:paraId="1379A43D" w14:textId="054FB12B" w:rsidR="001D015C" w:rsidRDefault="001D015C" w:rsidP="007A3E45">
      <w:pPr>
        <w:jc w:val="both"/>
        <w:rPr>
          <w:rFonts w:ascii="Arial" w:hAnsi="Arial" w:cs="Arial"/>
          <w:color w:val="000000"/>
        </w:rPr>
      </w:pPr>
    </w:p>
    <w:p w14:paraId="5D4C8128" w14:textId="77777777" w:rsidR="005C56A1" w:rsidRDefault="005C56A1" w:rsidP="007A3E45">
      <w:pPr>
        <w:jc w:val="both"/>
        <w:rPr>
          <w:rFonts w:ascii="Arial" w:hAnsi="Arial" w:cs="Arial"/>
          <w:color w:val="000000"/>
        </w:rPr>
      </w:pPr>
    </w:p>
    <w:p w14:paraId="3C9E71A1" w14:textId="77777777" w:rsidR="001D015C" w:rsidRDefault="001D015C" w:rsidP="0041175D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Úroveň nejčastěji používaných příplatků ke mzdě</w:t>
      </w:r>
    </w:p>
    <w:p w14:paraId="257A138B" w14:textId="77777777" w:rsidR="001D015C" w:rsidRDefault="001D015C" w:rsidP="0041175D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574C7E1B" w14:textId="56DB3035" w:rsidR="001D015C" w:rsidRDefault="001D015C" w:rsidP="0041175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Mzdové příplatky </w:t>
      </w:r>
      <w:proofErr w:type="gramStart"/>
      <w:r>
        <w:rPr>
          <w:rFonts w:ascii="Arial" w:hAnsi="Arial" w:cs="Arial"/>
          <w:color w:val="000000"/>
        </w:rPr>
        <w:t>tvoří</w:t>
      </w:r>
      <w:proofErr w:type="gramEnd"/>
      <w:r>
        <w:rPr>
          <w:rFonts w:ascii="Arial" w:hAnsi="Arial" w:cs="Arial"/>
          <w:color w:val="000000"/>
        </w:rPr>
        <w:t xml:space="preserve"> nedílnou a důležitou součást podnikových kolektivních smluv. Šetření Informace o pracovních podmínkách se zaměřuje především na ty příplatky, které se v podnikových kolektivních smlouvách objevují nejčastěji. Mezi ně </w:t>
      </w:r>
      <w:proofErr w:type="gramStart"/>
      <w:r>
        <w:rPr>
          <w:rFonts w:ascii="Arial" w:hAnsi="Arial" w:cs="Arial"/>
          <w:color w:val="000000"/>
        </w:rPr>
        <w:t>patří</w:t>
      </w:r>
      <w:proofErr w:type="gramEnd"/>
      <w:r>
        <w:rPr>
          <w:rFonts w:ascii="Arial" w:hAnsi="Arial" w:cs="Arial"/>
          <w:color w:val="000000"/>
        </w:rPr>
        <w:t xml:space="preserve"> především příplatek </w:t>
      </w:r>
      <w:r w:rsidRPr="001D015C">
        <w:rPr>
          <w:rFonts w:ascii="Arial" w:hAnsi="Arial" w:cs="Arial"/>
          <w:b/>
          <w:color w:val="000000"/>
        </w:rPr>
        <w:t>za práci přesčas, za noční práci, za práci v sobotu a v neděli, za práci ve svátek a příplatek za ztížené pracovní prostředí</w:t>
      </w:r>
      <w:r>
        <w:rPr>
          <w:rFonts w:ascii="Arial" w:hAnsi="Arial" w:cs="Arial"/>
          <w:color w:val="000000"/>
        </w:rPr>
        <w:t>. Pokud jde o počty PKS i průměrnou sjednanou výši příplatků, zůstávají tyto hodnoty prakticky na stejné úrovni jako v roce 2021.</w:t>
      </w:r>
    </w:p>
    <w:p w14:paraId="2C8EBE02" w14:textId="77777777" w:rsidR="001D015C" w:rsidRDefault="001D015C" w:rsidP="0041175D">
      <w:pPr>
        <w:jc w:val="both"/>
        <w:rPr>
          <w:rFonts w:ascii="Arial" w:hAnsi="Arial" w:cs="Arial"/>
          <w:color w:val="000000"/>
        </w:rPr>
      </w:pPr>
    </w:p>
    <w:p w14:paraId="7B1C114A" w14:textId="17B2BBF8" w:rsidR="001D015C" w:rsidRDefault="001D015C" w:rsidP="007B21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Téměř </w:t>
      </w:r>
      <w:r w:rsidRPr="001D015C">
        <w:rPr>
          <w:rFonts w:ascii="Arial" w:hAnsi="Arial" w:cs="Arial"/>
          <w:b/>
          <w:color w:val="000000"/>
        </w:rPr>
        <w:t>84 %</w:t>
      </w:r>
      <w:r>
        <w:rPr>
          <w:rFonts w:ascii="Arial" w:hAnsi="Arial" w:cs="Arial"/>
          <w:color w:val="000000"/>
        </w:rPr>
        <w:t xml:space="preserve"> podnikových kolektivních smluv sjednává výši mzdového příplatku za </w:t>
      </w:r>
      <w:r w:rsidRPr="001D015C">
        <w:rPr>
          <w:rFonts w:ascii="Arial" w:hAnsi="Arial" w:cs="Arial"/>
          <w:b/>
          <w:color w:val="000000"/>
        </w:rPr>
        <w:t>přesčasovou práci</w:t>
      </w:r>
      <w:r>
        <w:rPr>
          <w:rFonts w:ascii="Arial" w:hAnsi="Arial" w:cs="Arial"/>
          <w:color w:val="000000"/>
        </w:rPr>
        <w:t xml:space="preserve">. V letošním roce byl sjednán příplatek za práci přesčas v pracovní den v 43,8 % PKS, za přesčas v sobotu a neděli v 31,8 % PKS a za práci přesčas bez rozlišení v 39,7 % PKS. V podnikatelské sféře byla průměrná úroveň sjednaného </w:t>
      </w:r>
      <w:r w:rsidRPr="001D015C">
        <w:rPr>
          <w:rFonts w:ascii="Arial" w:hAnsi="Arial" w:cs="Arial"/>
          <w:b/>
          <w:color w:val="000000"/>
        </w:rPr>
        <w:t>příplatku za práci přesčas v pracovní den 26,3 % průměrného výdělku</w:t>
      </w:r>
      <w:r>
        <w:rPr>
          <w:rFonts w:ascii="Arial" w:hAnsi="Arial" w:cs="Arial"/>
          <w:color w:val="000000"/>
        </w:rPr>
        <w:t xml:space="preserve"> a </w:t>
      </w:r>
      <w:r w:rsidRPr="001D015C">
        <w:rPr>
          <w:rFonts w:ascii="Arial" w:hAnsi="Arial" w:cs="Arial"/>
          <w:b/>
          <w:color w:val="000000"/>
        </w:rPr>
        <w:t>příplatku za práci přesčas v sobotu a neděli 47,4 průměrného výdělku</w:t>
      </w:r>
      <w:r>
        <w:rPr>
          <w:rFonts w:ascii="Arial" w:hAnsi="Arial" w:cs="Arial"/>
          <w:color w:val="000000"/>
        </w:rPr>
        <w:t>.</w:t>
      </w:r>
    </w:p>
    <w:p w14:paraId="7ED0376B" w14:textId="77777777" w:rsidR="001D015C" w:rsidRDefault="001D015C" w:rsidP="007B21B2">
      <w:pPr>
        <w:jc w:val="both"/>
        <w:rPr>
          <w:rFonts w:ascii="Arial" w:hAnsi="Arial" w:cs="Arial"/>
          <w:color w:val="000000"/>
        </w:rPr>
      </w:pPr>
    </w:p>
    <w:p w14:paraId="14EB07AC" w14:textId="2377C2C5" w:rsidR="001D015C" w:rsidRDefault="001D015C" w:rsidP="007B21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Ujednání o mzdovém příplatku </w:t>
      </w:r>
      <w:r w:rsidRPr="001D015C">
        <w:rPr>
          <w:rFonts w:ascii="Arial" w:hAnsi="Arial" w:cs="Arial"/>
          <w:b/>
          <w:color w:val="000000"/>
        </w:rPr>
        <w:t>za noční práci</w:t>
      </w:r>
      <w:r>
        <w:rPr>
          <w:rFonts w:ascii="Arial" w:hAnsi="Arial" w:cs="Arial"/>
          <w:color w:val="000000"/>
        </w:rPr>
        <w:t xml:space="preserve"> obsahuje </w:t>
      </w:r>
      <w:r w:rsidRPr="001D015C">
        <w:rPr>
          <w:rFonts w:ascii="Arial" w:hAnsi="Arial" w:cs="Arial"/>
          <w:b/>
          <w:color w:val="000000"/>
        </w:rPr>
        <w:t>82,9 %</w:t>
      </w:r>
      <w:r>
        <w:rPr>
          <w:rFonts w:ascii="Arial" w:hAnsi="Arial" w:cs="Arial"/>
          <w:color w:val="000000"/>
        </w:rPr>
        <w:t xml:space="preserve"> podnikových kolektivních smluv, jehož minimální výše činí dle § 116 zákona č. 262/2006 Sb. nejméně 10 % průměrného výdělku. V letošním roce vyhodnotila analýza průměrnou hodnotu příplatku v podnikatelské sféře na úrovni </w:t>
      </w:r>
      <w:r w:rsidRPr="001D015C">
        <w:rPr>
          <w:rFonts w:ascii="Arial" w:hAnsi="Arial" w:cs="Arial"/>
          <w:b/>
          <w:color w:val="000000"/>
        </w:rPr>
        <w:t>12,2 % průměrného výdělku</w:t>
      </w:r>
      <w:r>
        <w:rPr>
          <w:rFonts w:ascii="Arial" w:hAnsi="Arial" w:cs="Arial"/>
          <w:color w:val="000000"/>
        </w:rPr>
        <w:t xml:space="preserve"> u 51,1 % PKS. Tento příplatek je možné sjednat v souladu s možností danou § 116 zákoníku práce také jiným způsobem, např. v hodinových sazbách (40,8 % PKS), kdy průměrná hodnota příplatku činí </w:t>
      </w:r>
      <w:r w:rsidRPr="001D015C">
        <w:rPr>
          <w:rFonts w:ascii="Arial" w:hAnsi="Arial" w:cs="Arial"/>
          <w:b/>
          <w:color w:val="000000"/>
        </w:rPr>
        <w:t>20 Kč za hodinu</w:t>
      </w:r>
      <w:r>
        <w:rPr>
          <w:rFonts w:ascii="Arial" w:hAnsi="Arial" w:cs="Arial"/>
          <w:color w:val="000000"/>
        </w:rPr>
        <w:t>.</w:t>
      </w:r>
    </w:p>
    <w:p w14:paraId="17921872" w14:textId="77777777" w:rsidR="001D015C" w:rsidRDefault="001D015C" w:rsidP="007B21B2">
      <w:pPr>
        <w:jc w:val="both"/>
        <w:rPr>
          <w:rFonts w:ascii="Arial" w:hAnsi="Arial" w:cs="Arial"/>
          <w:color w:val="000000"/>
        </w:rPr>
      </w:pPr>
    </w:p>
    <w:p w14:paraId="5AC0816A" w14:textId="221D8AF4" w:rsidR="001D015C" w:rsidRDefault="001D015C" w:rsidP="0057234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Mzdový příplatek </w:t>
      </w:r>
      <w:r w:rsidRPr="001D015C">
        <w:rPr>
          <w:rFonts w:ascii="Arial" w:hAnsi="Arial" w:cs="Arial"/>
          <w:b/>
          <w:color w:val="000000"/>
        </w:rPr>
        <w:t>za práci v sobotu a v neděli</w:t>
      </w:r>
      <w:r>
        <w:rPr>
          <w:rFonts w:ascii="Arial" w:hAnsi="Arial" w:cs="Arial"/>
          <w:color w:val="000000"/>
        </w:rPr>
        <w:t xml:space="preserve"> byl sjednán v </w:t>
      </w:r>
      <w:r w:rsidRPr="001D015C">
        <w:rPr>
          <w:rFonts w:ascii="Arial" w:hAnsi="Arial" w:cs="Arial"/>
          <w:b/>
          <w:color w:val="000000"/>
        </w:rPr>
        <w:t>79,4 %</w:t>
      </w:r>
      <w:r>
        <w:rPr>
          <w:rFonts w:ascii="Arial" w:hAnsi="Arial" w:cs="Arial"/>
          <w:color w:val="000000"/>
        </w:rPr>
        <w:t xml:space="preserve"> podnikových kolektivních smluv. Průměrná celorepubliková výše příplatku dosáhla v letošním roce hodnoty </w:t>
      </w:r>
      <w:r w:rsidRPr="001D015C">
        <w:rPr>
          <w:rFonts w:ascii="Arial" w:hAnsi="Arial" w:cs="Arial"/>
          <w:b/>
          <w:color w:val="000000"/>
        </w:rPr>
        <w:t>23,0 % průměrného výdělku</w:t>
      </w:r>
      <w:r>
        <w:rPr>
          <w:rFonts w:ascii="Arial" w:hAnsi="Arial" w:cs="Arial"/>
          <w:color w:val="000000"/>
        </w:rPr>
        <w:t xml:space="preserve"> (72,9 % PKS), což znamená, že její hodnota </w:t>
      </w:r>
      <w:r w:rsidR="00B44866" w:rsidRPr="00B44866">
        <w:rPr>
          <w:rFonts w:ascii="Arial" w:hAnsi="Arial" w:cs="Arial"/>
          <w:color w:val="000000"/>
        </w:rPr>
        <w:t>je podobná jako v roce 2021</w:t>
      </w:r>
      <w:r>
        <w:rPr>
          <w:rFonts w:ascii="Arial" w:hAnsi="Arial" w:cs="Arial"/>
          <w:color w:val="000000"/>
        </w:rPr>
        <w:t xml:space="preserve">. Pokud srovnáme sjednané hodnoty tohoto příplatku v jednotlivých odborových svazech, nejvyšší úroveň příplatku je u OS Pracovníků peněžnictví a pojišťovnictví, kde průměrná hodnota činí 37,4 % průměrného výdělku. Naopak nejnižší úroveň příplatku v zákonem stanovené minimální výši 10 % </w:t>
      </w:r>
      <w:r>
        <w:rPr>
          <w:rFonts w:ascii="Arial" w:hAnsi="Arial" w:cs="Arial"/>
          <w:color w:val="000000"/>
        </w:rPr>
        <w:lastRenderedPageBreak/>
        <w:t>průměrného výdělku je u </w:t>
      </w:r>
      <w:r w:rsidR="00B16A27">
        <w:rPr>
          <w:rFonts w:ascii="Arial" w:hAnsi="Arial" w:cs="Arial"/>
          <w:color w:val="000000"/>
        </w:rPr>
        <w:t xml:space="preserve">OS Pohostinství, hotelů a cestovního ruchu a </w:t>
      </w:r>
      <w:r>
        <w:rPr>
          <w:rFonts w:ascii="Arial" w:hAnsi="Arial" w:cs="Arial"/>
          <w:color w:val="000000"/>
        </w:rPr>
        <w:t xml:space="preserve">OS </w:t>
      </w:r>
      <w:r w:rsidR="00B16A27">
        <w:rPr>
          <w:rFonts w:ascii="Arial" w:hAnsi="Arial" w:cs="Arial"/>
          <w:color w:val="000000"/>
        </w:rPr>
        <w:t xml:space="preserve">zaměstnanců </w:t>
      </w:r>
      <w:r w:rsidR="0057234F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oštovních, telekomunikačních a novinových </w:t>
      </w:r>
      <w:proofErr w:type="gramStart"/>
      <w:r>
        <w:rPr>
          <w:rFonts w:ascii="Arial" w:hAnsi="Arial" w:cs="Arial"/>
          <w:color w:val="000000"/>
        </w:rPr>
        <w:t>služeb</w:t>
      </w:r>
      <w:r w:rsidR="0057234F" w:rsidDel="005723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</w:t>
      </w:r>
      <w:proofErr w:type="gramEnd"/>
    </w:p>
    <w:p w14:paraId="26319B99" w14:textId="77777777" w:rsidR="001D015C" w:rsidRDefault="001D015C" w:rsidP="0057234F">
      <w:pPr>
        <w:jc w:val="both"/>
        <w:rPr>
          <w:rFonts w:ascii="Arial" w:hAnsi="Arial" w:cs="Arial"/>
          <w:color w:val="000000"/>
        </w:rPr>
      </w:pPr>
    </w:p>
    <w:p w14:paraId="582AF91F" w14:textId="7BE2F172" w:rsidR="001D015C" w:rsidRDefault="001D015C" w:rsidP="0057234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Téměř </w:t>
      </w:r>
      <w:r w:rsidRPr="001D015C">
        <w:rPr>
          <w:rFonts w:ascii="Arial" w:hAnsi="Arial" w:cs="Arial"/>
          <w:b/>
          <w:color w:val="000000"/>
        </w:rPr>
        <w:t>76 %</w:t>
      </w:r>
      <w:r>
        <w:rPr>
          <w:rFonts w:ascii="Arial" w:hAnsi="Arial" w:cs="Arial"/>
          <w:color w:val="000000"/>
        </w:rPr>
        <w:t xml:space="preserve"> podnikových kolektivních smluv obsahuje ujednání smluvních partnerů o poskytování příplatku </w:t>
      </w:r>
      <w:r w:rsidRPr="001D015C">
        <w:rPr>
          <w:rFonts w:ascii="Arial" w:hAnsi="Arial" w:cs="Arial"/>
          <w:b/>
          <w:color w:val="000000"/>
        </w:rPr>
        <w:t>za práci ve svátek</w:t>
      </w:r>
      <w:r>
        <w:rPr>
          <w:rFonts w:ascii="Arial" w:hAnsi="Arial" w:cs="Arial"/>
          <w:color w:val="000000"/>
        </w:rPr>
        <w:t xml:space="preserve">, kdy průměrná výše tohoto příplatku činí </w:t>
      </w:r>
      <w:r w:rsidRPr="001D015C">
        <w:rPr>
          <w:rFonts w:ascii="Arial" w:hAnsi="Arial" w:cs="Arial"/>
          <w:b/>
          <w:color w:val="000000"/>
        </w:rPr>
        <w:t>102,6 %</w:t>
      </w:r>
      <w:r>
        <w:rPr>
          <w:rFonts w:ascii="Arial" w:hAnsi="Arial" w:cs="Arial"/>
          <w:color w:val="000000"/>
        </w:rPr>
        <w:t xml:space="preserve"> průměrného výdělku.</w:t>
      </w:r>
    </w:p>
    <w:p w14:paraId="03A4117A" w14:textId="77777777" w:rsidR="001D015C" w:rsidRDefault="001D015C" w:rsidP="0057234F">
      <w:pPr>
        <w:jc w:val="both"/>
        <w:rPr>
          <w:rFonts w:ascii="Arial" w:hAnsi="Arial" w:cs="Arial"/>
          <w:color w:val="000000"/>
        </w:rPr>
      </w:pPr>
    </w:p>
    <w:p w14:paraId="483F286C" w14:textId="16400F11" w:rsidR="001D015C" w:rsidRDefault="001D015C" w:rsidP="0057234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Poskytování příplatku </w:t>
      </w:r>
      <w:r w:rsidRPr="001D015C">
        <w:rPr>
          <w:rFonts w:ascii="Arial" w:hAnsi="Arial" w:cs="Arial"/>
          <w:b/>
          <w:color w:val="000000"/>
        </w:rPr>
        <w:t>za ztížené pracovní prostředí</w:t>
      </w:r>
      <w:r>
        <w:rPr>
          <w:rFonts w:ascii="Arial" w:hAnsi="Arial" w:cs="Arial"/>
          <w:color w:val="000000"/>
        </w:rPr>
        <w:t xml:space="preserve"> bylo v letošním roce sjednáno v </w:t>
      </w:r>
      <w:r w:rsidRPr="001D015C">
        <w:rPr>
          <w:rFonts w:ascii="Arial" w:hAnsi="Arial" w:cs="Arial"/>
          <w:b/>
          <w:color w:val="000000"/>
        </w:rPr>
        <w:t>58,8 %</w:t>
      </w:r>
      <w:r>
        <w:rPr>
          <w:rFonts w:ascii="Arial" w:hAnsi="Arial" w:cs="Arial"/>
          <w:color w:val="000000"/>
        </w:rPr>
        <w:t xml:space="preserve"> podnikových kolektivních smluv. Analýza ukázala, že v letošním roce zůstala zachována průměrná hodnota tohoto příplatku přibližně ve stejné úrovni, jako v roce 2021. V roce 2022 činí průměrná výše příplatku </w:t>
      </w:r>
      <w:r w:rsidRPr="001D015C">
        <w:rPr>
          <w:rFonts w:ascii="Arial" w:hAnsi="Arial" w:cs="Arial"/>
          <w:b/>
          <w:color w:val="000000"/>
        </w:rPr>
        <w:t>10,1 Kč za hodinu</w:t>
      </w:r>
      <w:r>
        <w:rPr>
          <w:rFonts w:ascii="Arial" w:hAnsi="Arial" w:cs="Arial"/>
          <w:color w:val="000000"/>
        </w:rPr>
        <w:t xml:space="preserve"> (sjednáno v 38,2 % PKS), </w:t>
      </w:r>
      <w:r w:rsidRPr="001D015C">
        <w:rPr>
          <w:rFonts w:ascii="Arial" w:hAnsi="Arial" w:cs="Arial"/>
          <w:b/>
          <w:color w:val="000000"/>
        </w:rPr>
        <w:t>10,4 % základní sazby minimální mzdy</w:t>
      </w:r>
      <w:r>
        <w:rPr>
          <w:rFonts w:ascii="Arial" w:hAnsi="Arial" w:cs="Arial"/>
          <w:color w:val="000000"/>
        </w:rPr>
        <w:t xml:space="preserve"> (sjednáno v 17,6 % PKS) nebo </w:t>
      </w:r>
      <w:r w:rsidRPr="001D015C">
        <w:rPr>
          <w:rFonts w:ascii="Arial" w:hAnsi="Arial" w:cs="Arial"/>
          <w:b/>
          <w:color w:val="000000"/>
        </w:rPr>
        <w:t>10,7 % průměrného výdělku</w:t>
      </w:r>
      <w:r>
        <w:rPr>
          <w:rFonts w:ascii="Arial" w:hAnsi="Arial" w:cs="Arial"/>
          <w:color w:val="000000"/>
        </w:rPr>
        <w:t xml:space="preserve"> (sjednáno v 5,2 % PKS).</w:t>
      </w:r>
    </w:p>
    <w:p w14:paraId="39FE8C6E" w14:textId="2CD89448" w:rsidR="001D015C" w:rsidRDefault="001D015C" w:rsidP="0057234F">
      <w:pPr>
        <w:jc w:val="both"/>
        <w:rPr>
          <w:rFonts w:ascii="Arial" w:hAnsi="Arial" w:cs="Arial"/>
          <w:color w:val="000000"/>
        </w:rPr>
      </w:pPr>
    </w:p>
    <w:p w14:paraId="0BBD61EE" w14:textId="77777777" w:rsidR="0054698D" w:rsidRDefault="0054698D" w:rsidP="0057234F">
      <w:pPr>
        <w:jc w:val="both"/>
        <w:rPr>
          <w:rFonts w:ascii="Arial" w:hAnsi="Arial" w:cs="Arial"/>
          <w:color w:val="000000"/>
        </w:rPr>
      </w:pPr>
    </w:p>
    <w:p w14:paraId="36EED692" w14:textId="3E744F8D" w:rsidR="001D015C" w:rsidRDefault="001D015C" w:rsidP="0057234F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Benefity a pracovní podmínky zaměstnanců</w:t>
      </w:r>
    </w:p>
    <w:p w14:paraId="03AA7C7B" w14:textId="77777777" w:rsidR="001D015C" w:rsidRDefault="001D015C" w:rsidP="0057234F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3E761B34" w14:textId="77777777" w:rsidR="001D015C" w:rsidRDefault="001D015C" w:rsidP="00A87C91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Závodní stravování</w:t>
      </w:r>
    </w:p>
    <w:p w14:paraId="53FE6D49" w14:textId="3E611BC3" w:rsidR="001D015C" w:rsidRDefault="001D015C" w:rsidP="00A87C9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Nejrozšířenějším benefitem, který byl v letošním roce poskytován zaměstnancům v podnikových kolektivních smlouvách, je příspěvek zaměstnavatele na závodní stravování. Nárok na tento příspěvek byl v roce 2022 sjednán v 94,8 % podnikových kolektivních smluv. Z tohoto počtu téměř polovina zaměstnavatelů poskytuje příspěvek na závodní stravování </w:t>
      </w:r>
      <w:r w:rsidRPr="001D015C">
        <w:rPr>
          <w:rFonts w:ascii="Arial" w:hAnsi="Arial" w:cs="Arial"/>
          <w:b/>
          <w:color w:val="000000"/>
        </w:rPr>
        <w:t>z nákladů</w:t>
      </w:r>
      <w:r>
        <w:rPr>
          <w:rFonts w:ascii="Arial" w:hAnsi="Arial" w:cs="Arial"/>
          <w:color w:val="000000"/>
        </w:rPr>
        <w:t xml:space="preserve">, a to v korunách, nebo procentem z ceny jídla. Průměrná výše příspěvku stanoveného procentem z ceny jídla činí </w:t>
      </w:r>
      <w:r w:rsidRPr="001D015C">
        <w:rPr>
          <w:rFonts w:ascii="Arial" w:hAnsi="Arial" w:cs="Arial"/>
          <w:b/>
          <w:color w:val="000000"/>
        </w:rPr>
        <w:t>54,7 %</w:t>
      </w:r>
      <w:r>
        <w:rPr>
          <w:rFonts w:ascii="Arial" w:hAnsi="Arial" w:cs="Arial"/>
          <w:color w:val="000000"/>
        </w:rPr>
        <w:t xml:space="preserve"> a </w:t>
      </w:r>
      <w:proofErr w:type="gramStart"/>
      <w:r>
        <w:rPr>
          <w:rFonts w:ascii="Arial" w:hAnsi="Arial" w:cs="Arial"/>
          <w:color w:val="000000"/>
        </w:rPr>
        <w:t>blíží</w:t>
      </w:r>
      <w:proofErr w:type="gramEnd"/>
      <w:r>
        <w:rPr>
          <w:rFonts w:ascii="Arial" w:hAnsi="Arial" w:cs="Arial"/>
          <w:color w:val="000000"/>
        </w:rPr>
        <w:t xml:space="preserve"> se tak maximální výši uvedené v § 24 odst. 2 písm. j) bod 4 zákona č. 586/1992 Sb., o daních z příjmů, v platném znění, pro uplatňování těchto příspěvků do nákladů. Korunové vyjádření ceny hrazené z nákladů zaměstnavatele činí v roce 2022 – </w:t>
      </w:r>
      <w:r w:rsidRPr="001D015C">
        <w:rPr>
          <w:rFonts w:ascii="Arial" w:hAnsi="Arial" w:cs="Arial"/>
          <w:b/>
          <w:color w:val="000000"/>
        </w:rPr>
        <w:t>52,9 Kč</w:t>
      </w:r>
      <w:r>
        <w:rPr>
          <w:rFonts w:ascii="Arial" w:hAnsi="Arial" w:cs="Arial"/>
          <w:color w:val="000000"/>
        </w:rPr>
        <w:t xml:space="preserve"> za jedno hlavní jídlo. Ve 12,7 % PKS přispívají zaměstnavatelé zaměstnancům na závodní stravování také ze sociálního fondu nebo jiného fondu tvořeného </w:t>
      </w:r>
      <w:r w:rsidRPr="001D015C">
        <w:rPr>
          <w:rFonts w:ascii="Arial" w:hAnsi="Arial" w:cs="Arial"/>
          <w:b/>
          <w:color w:val="000000"/>
        </w:rPr>
        <w:t>ze zisku</w:t>
      </w:r>
      <w:r>
        <w:rPr>
          <w:rFonts w:ascii="Arial" w:hAnsi="Arial" w:cs="Arial"/>
          <w:color w:val="000000"/>
        </w:rPr>
        <w:t xml:space="preserve">. Zde sjednaný průměrný příspěvek činí </w:t>
      </w:r>
      <w:r w:rsidRPr="001D015C">
        <w:rPr>
          <w:rFonts w:ascii="Arial" w:hAnsi="Arial" w:cs="Arial"/>
          <w:b/>
          <w:color w:val="000000"/>
        </w:rPr>
        <w:t>16,5 Kč</w:t>
      </w:r>
      <w:r>
        <w:rPr>
          <w:rFonts w:ascii="Arial" w:hAnsi="Arial" w:cs="Arial"/>
          <w:color w:val="000000"/>
        </w:rPr>
        <w:t xml:space="preserve"> na jedno jídlo příp. </w:t>
      </w:r>
      <w:r w:rsidRPr="001D015C">
        <w:rPr>
          <w:rFonts w:ascii="Arial" w:hAnsi="Arial" w:cs="Arial"/>
          <w:b/>
          <w:color w:val="000000"/>
        </w:rPr>
        <w:t>30,1 %</w:t>
      </w:r>
      <w:r>
        <w:rPr>
          <w:rFonts w:ascii="Arial" w:hAnsi="Arial" w:cs="Arial"/>
          <w:color w:val="000000"/>
        </w:rPr>
        <w:t xml:space="preserve"> z ceny jídla. V šetření se dále vyskytuje vzorek téměř 24 % PKS, které obsahují pouze ujednání o poskytování příspěvku na závodní stravování, ale není v nich uvedena konkrétní výše tohoto příspěvku.</w:t>
      </w:r>
    </w:p>
    <w:p w14:paraId="62B369BA" w14:textId="376A09E8" w:rsidR="001D015C" w:rsidRDefault="001D015C" w:rsidP="00A87C9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letošním roce bylo sjednáno poskytování cenově zvýhodněného stravování také bývalým zaměstnancům (více než 14 % PKS), zaměstnancům po dobu čerpání jejich dovolené (1,9 % PKS) a zaměstnancům po dobu jejich dočasné pracovní neschopnosti (téměř 2 % PKS).</w:t>
      </w:r>
    </w:p>
    <w:p w14:paraId="17EBE71B" w14:textId="77777777" w:rsidR="001D015C" w:rsidRDefault="001D015C" w:rsidP="00A87C91">
      <w:pPr>
        <w:jc w:val="both"/>
        <w:rPr>
          <w:rFonts w:ascii="Arial" w:hAnsi="Arial" w:cs="Arial"/>
          <w:color w:val="000000"/>
        </w:rPr>
      </w:pPr>
    </w:p>
    <w:p w14:paraId="500DA4D0" w14:textId="77777777" w:rsidR="001D015C" w:rsidRDefault="001D015C" w:rsidP="00A87C91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Penzijní připojištění</w:t>
      </w:r>
    </w:p>
    <w:p w14:paraId="3678ADA2" w14:textId="2848B841" w:rsidR="001D015C" w:rsidRDefault="001D015C" w:rsidP="00D73F6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Další významnou součástí podnikových kolektivních smluv jsou ujednání o poskytování příspěvku na penzijní připojištění, příp. doplňkové penzijní spoření. V letošním roce toto ujednání obsahovalo </w:t>
      </w:r>
      <w:r w:rsidRPr="001D015C">
        <w:rPr>
          <w:rFonts w:ascii="Arial" w:hAnsi="Arial" w:cs="Arial"/>
          <w:b/>
          <w:color w:val="000000"/>
        </w:rPr>
        <w:t>66,6 % podnikových kolektivních smluv</w:t>
      </w:r>
      <w:r>
        <w:rPr>
          <w:rFonts w:ascii="Arial" w:hAnsi="Arial" w:cs="Arial"/>
          <w:color w:val="000000"/>
        </w:rPr>
        <w:t xml:space="preserve">, kdy průměrný měsíční příspěvek poskytovaný zaměstnavatelem stoupl ve srovnání s rokem 2021 o 24 Kč a činí </w:t>
      </w:r>
      <w:r w:rsidRPr="001D015C">
        <w:rPr>
          <w:rFonts w:ascii="Arial" w:hAnsi="Arial" w:cs="Arial"/>
          <w:b/>
          <w:color w:val="000000"/>
        </w:rPr>
        <w:t>814 Kč</w:t>
      </w:r>
      <w:r>
        <w:rPr>
          <w:rFonts w:ascii="Arial" w:hAnsi="Arial" w:cs="Arial"/>
          <w:color w:val="000000"/>
        </w:rPr>
        <w:t xml:space="preserve">. V letošním roce činí </w:t>
      </w:r>
      <w:r w:rsidRPr="001D015C">
        <w:rPr>
          <w:rFonts w:ascii="Arial" w:hAnsi="Arial" w:cs="Arial"/>
          <w:b/>
          <w:color w:val="000000"/>
        </w:rPr>
        <w:t>minimální výše příspěvku</w:t>
      </w:r>
      <w:r>
        <w:rPr>
          <w:rFonts w:ascii="Arial" w:hAnsi="Arial" w:cs="Arial"/>
          <w:color w:val="000000"/>
        </w:rPr>
        <w:t xml:space="preserve"> průměrně </w:t>
      </w:r>
      <w:r w:rsidRPr="001D015C">
        <w:rPr>
          <w:rFonts w:ascii="Arial" w:hAnsi="Arial" w:cs="Arial"/>
          <w:b/>
          <w:color w:val="000000"/>
        </w:rPr>
        <w:t>640 Kč</w:t>
      </w:r>
      <w:r>
        <w:rPr>
          <w:rFonts w:ascii="Arial" w:hAnsi="Arial" w:cs="Arial"/>
          <w:color w:val="000000"/>
        </w:rPr>
        <w:t xml:space="preserve">, </w:t>
      </w:r>
      <w:r w:rsidRPr="001D015C">
        <w:rPr>
          <w:rFonts w:ascii="Arial" w:hAnsi="Arial" w:cs="Arial"/>
          <w:b/>
          <w:color w:val="000000"/>
        </w:rPr>
        <w:t>maximální výše příspěvku</w:t>
      </w:r>
      <w:r>
        <w:rPr>
          <w:rFonts w:ascii="Arial" w:hAnsi="Arial" w:cs="Arial"/>
          <w:color w:val="000000"/>
        </w:rPr>
        <w:t xml:space="preserve"> je poskytována v průměrné výši </w:t>
      </w:r>
      <w:r w:rsidRPr="001D015C">
        <w:rPr>
          <w:rFonts w:ascii="Arial" w:hAnsi="Arial" w:cs="Arial"/>
          <w:b/>
          <w:color w:val="000000"/>
        </w:rPr>
        <w:t>975 Kč</w:t>
      </w:r>
      <w:r>
        <w:rPr>
          <w:rFonts w:ascii="Arial" w:hAnsi="Arial" w:cs="Arial"/>
          <w:color w:val="000000"/>
        </w:rPr>
        <w:t>. Analýza údajů ukázala výrazné rozdíly ve velikosti příspěvku u zaměstnavatelů v působnosti jednotlivých odborových svazů. Zatímco průměrná maximální hodnota příspěvku u zaměstnavatelů v působnosti OS Textilního, oděvního a kožedělného pr</w:t>
      </w:r>
      <w:r w:rsidR="0054698D">
        <w:rPr>
          <w:rFonts w:ascii="Arial" w:hAnsi="Arial" w:cs="Arial"/>
          <w:color w:val="000000"/>
        </w:rPr>
        <w:t>ůmyslu</w:t>
      </w:r>
      <w:r>
        <w:rPr>
          <w:rFonts w:ascii="Arial" w:hAnsi="Arial" w:cs="Arial"/>
          <w:color w:val="000000"/>
        </w:rPr>
        <w:t xml:space="preserve"> činí 413 Kč/měsíc, u zaměstnavatelů v působnosti OS </w:t>
      </w:r>
      <w:r w:rsidR="0054698D">
        <w:rPr>
          <w:rFonts w:ascii="Arial" w:hAnsi="Arial" w:cs="Arial"/>
          <w:color w:val="000000"/>
        </w:rPr>
        <w:t xml:space="preserve">stavba </w:t>
      </w:r>
      <w:r>
        <w:rPr>
          <w:rFonts w:ascii="Arial" w:hAnsi="Arial" w:cs="Arial"/>
          <w:color w:val="000000"/>
        </w:rPr>
        <w:t xml:space="preserve">je tento příspěvek přibližně třikrát vyšší a činí 1 291 Kč/měsíc. Šetření ukázalo, že v letošním roce došlo ve srovnání s rokem 2021 k nepatrnému nárůstu počtu podnikových kolektivních smluv, ve kterých je vyplácení tohoto příspěvku vázáno </w:t>
      </w:r>
      <w:r>
        <w:rPr>
          <w:rFonts w:ascii="Arial" w:hAnsi="Arial" w:cs="Arial"/>
          <w:color w:val="000000"/>
        </w:rPr>
        <w:lastRenderedPageBreak/>
        <w:t xml:space="preserve">na splnění zaměstnavatelem stanovených podmínek a to o 0,9 p. b. (sjednáno v 53,2 % PKS). Ve 13,5 % podnikových kolektivních smluv je tento příspěvek stanoven </w:t>
      </w:r>
      <w:r w:rsidRPr="001D015C">
        <w:rPr>
          <w:rFonts w:ascii="Arial" w:hAnsi="Arial" w:cs="Arial"/>
          <w:b/>
          <w:color w:val="000000"/>
        </w:rPr>
        <w:t>procentem z měsíčního vyměřovacího základu</w:t>
      </w:r>
      <w:r>
        <w:rPr>
          <w:rFonts w:ascii="Arial" w:hAnsi="Arial" w:cs="Arial"/>
          <w:color w:val="000000"/>
        </w:rPr>
        <w:t xml:space="preserve"> zaměstnance, jehož průměrná výše činí </w:t>
      </w:r>
      <w:r w:rsidRPr="001D015C">
        <w:rPr>
          <w:rFonts w:ascii="Arial" w:hAnsi="Arial" w:cs="Arial"/>
          <w:b/>
          <w:color w:val="000000"/>
        </w:rPr>
        <w:t>3,2 %</w:t>
      </w:r>
      <w:r>
        <w:rPr>
          <w:rFonts w:ascii="Arial" w:hAnsi="Arial" w:cs="Arial"/>
          <w:color w:val="000000"/>
        </w:rPr>
        <w:t>.</w:t>
      </w:r>
    </w:p>
    <w:p w14:paraId="4EA9F32C" w14:textId="77777777" w:rsidR="001D015C" w:rsidRDefault="001D015C" w:rsidP="00D73F66">
      <w:pPr>
        <w:jc w:val="both"/>
        <w:rPr>
          <w:rFonts w:ascii="Arial" w:hAnsi="Arial" w:cs="Arial"/>
          <w:color w:val="000000"/>
        </w:rPr>
      </w:pPr>
    </w:p>
    <w:p w14:paraId="68E2B839" w14:textId="77777777" w:rsidR="001D015C" w:rsidRDefault="001D015C" w:rsidP="00D73F66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Životní pojištění</w:t>
      </w:r>
    </w:p>
    <w:p w14:paraId="5CC2495B" w14:textId="5E49C51E" w:rsidR="001D015C" w:rsidRDefault="001D015C" w:rsidP="004B4E8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Poskytování příspěvku na životní pojištění je v letošním roce sjednáno v </w:t>
      </w:r>
      <w:r w:rsidRPr="001D015C">
        <w:rPr>
          <w:rFonts w:ascii="Arial" w:hAnsi="Arial" w:cs="Arial"/>
          <w:b/>
          <w:color w:val="000000"/>
        </w:rPr>
        <w:t>24,9 % podnikových kolektivních smluv</w:t>
      </w:r>
      <w:r>
        <w:rPr>
          <w:rFonts w:ascii="Arial" w:hAnsi="Arial" w:cs="Arial"/>
          <w:color w:val="000000"/>
        </w:rPr>
        <w:t xml:space="preserve">, což je přibližně stejný počet podnikových kolektivních smluv jako v roce 2021. Průměrná výše měsíčního příspěvku poskytovaného zaměstnavatelem </w:t>
      </w:r>
      <w:r w:rsidR="004B4E88">
        <w:rPr>
          <w:rFonts w:ascii="Arial" w:hAnsi="Arial" w:cs="Arial"/>
          <w:color w:val="000000"/>
        </w:rPr>
        <w:t xml:space="preserve">poklesla </w:t>
      </w:r>
      <w:r>
        <w:rPr>
          <w:rFonts w:ascii="Arial" w:hAnsi="Arial" w:cs="Arial"/>
          <w:color w:val="000000"/>
        </w:rPr>
        <w:t xml:space="preserve">ve srovnání s rokem 2021 o 3 Kč a činí </w:t>
      </w:r>
      <w:r w:rsidRPr="001D015C">
        <w:rPr>
          <w:rFonts w:ascii="Arial" w:hAnsi="Arial" w:cs="Arial"/>
          <w:b/>
          <w:color w:val="000000"/>
        </w:rPr>
        <w:t>716 Kč za měsíc</w:t>
      </w:r>
      <w:r>
        <w:rPr>
          <w:rFonts w:ascii="Arial" w:hAnsi="Arial" w:cs="Arial"/>
          <w:color w:val="000000"/>
        </w:rPr>
        <w:t xml:space="preserve">. </w:t>
      </w:r>
      <w:r w:rsidRPr="001D015C">
        <w:rPr>
          <w:rFonts w:ascii="Arial" w:hAnsi="Arial" w:cs="Arial"/>
          <w:b/>
          <w:color w:val="000000"/>
        </w:rPr>
        <w:t>Minimální výše příspěvku</w:t>
      </w:r>
      <w:r>
        <w:rPr>
          <w:rFonts w:ascii="Arial" w:hAnsi="Arial" w:cs="Arial"/>
          <w:color w:val="000000"/>
        </w:rPr>
        <w:t xml:space="preserve"> je v letošním roce poskytována v průměrné výši </w:t>
      </w:r>
      <w:r w:rsidRPr="001D015C">
        <w:rPr>
          <w:rFonts w:ascii="Arial" w:hAnsi="Arial" w:cs="Arial"/>
          <w:b/>
          <w:color w:val="000000"/>
        </w:rPr>
        <w:t>580 Kč</w:t>
      </w:r>
      <w:r>
        <w:rPr>
          <w:rFonts w:ascii="Arial" w:hAnsi="Arial" w:cs="Arial"/>
          <w:color w:val="000000"/>
        </w:rPr>
        <w:t xml:space="preserve"> a </w:t>
      </w:r>
      <w:r w:rsidRPr="001D015C">
        <w:rPr>
          <w:rFonts w:ascii="Arial" w:hAnsi="Arial" w:cs="Arial"/>
          <w:b/>
          <w:color w:val="000000"/>
        </w:rPr>
        <w:t>maximální výše příspěvku</w:t>
      </w:r>
      <w:r>
        <w:rPr>
          <w:rFonts w:ascii="Arial" w:hAnsi="Arial" w:cs="Arial"/>
          <w:color w:val="000000"/>
        </w:rPr>
        <w:t xml:space="preserve"> dosahuje průměrné výše </w:t>
      </w:r>
      <w:r w:rsidRPr="001D015C">
        <w:rPr>
          <w:rFonts w:ascii="Arial" w:hAnsi="Arial" w:cs="Arial"/>
          <w:b/>
          <w:color w:val="000000"/>
        </w:rPr>
        <w:t>839 Kč</w:t>
      </w:r>
      <w:r>
        <w:rPr>
          <w:rFonts w:ascii="Arial" w:hAnsi="Arial" w:cs="Arial"/>
          <w:color w:val="000000"/>
        </w:rPr>
        <w:t>.</w:t>
      </w:r>
    </w:p>
    <w:p w14:paraId="2485226B" w14:textId="77777777" w:rsidR="001D015C" w:rsidRDefault="001D015C" w:rsidP="004B4E88">
      <w:pPr>
        <w:jc w:val="both"/>
        <w:rPr>
          <w:rFonts w:ascii="Arial" w:hAnsi="Arial" w:cs="Arial"/>
          <w:color w:val="000000"/>
        </w:rPr>
      </w:pPr>
    </w:p>
    <w:p w14:paraId="22862E1A" w14:textId="77777777" w:rsidR="001D015C" w:rsidRDefault="001D015C" w:rsidP="004B4E88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Sociální fond</w:t>
      </w:r>
    </w:p>
    <w:p w14:paraId="10A35D03" w14:textId="4F1BE877" w:rsidR="001D015C" w:rsidRDefault="001D015C" w:rsidP="004B4E8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 zabezpečení některých sociálních potřeb zaměstnanců mohou zaměstnavatelé vytvářet sociální fond, popř. mohou využít jiné sociální programy (bez rozlišení zdrojů financování). Na základě šetření vyplývá, že </w:t>
      </w:r>
      <w:r w:rsidRPr="001D015C">
        <w:rPr>
          <w:rFonts w:ascii="Arial" w:hAnsi="Arial" w:cs="Arial"/>
          <w:b/>
          <w:color w:val="000000"/>
        </w:rPr>
        <w:t>31,1 % organizací</w:t>
      </w:r>
      <w:r>
        <w:rPr>
          <w:rFonts w:ascii="Arial" w:hAnsi="Arial" w:cs="Arial"/>
          <w:color w:val="000000"/>
        </w:rPr>
        <w:t xml:space="preserve"> ve svých podnikových kolektivních smlouvách sjednává tvorbu </w:t>
      </w:r>
      <w:r w:rsidRPr="001D015C">
        <w:rPr>
          <w:rFonts w:ascii="Arial" w:hAnsi="Arial" w:cs="Arial"/>
          <w:b/>
          <w:color w:val="000000"/>
        </w:rPr>
        <w:t>sociálního fondu</w:t>
      </w:r>
      <w:r>
        <w:rPr>
          <w:rFonts w:ascii="Arial" w:hAnsi="Arial" w:cs="Arial"/>
          <w:color w:val="000000"/>
        </w:rPr>
        <w:t xml:space="preserve"> a </w:t>
      </w:r>
      <w:r w:rsidRPr="001D015C">
        <w:rPr>
          <w:rFonts w:ascii="Arial" w:hAnsi="Arial" w:cs="Arial"/>
          <w:b/>
          <w:color w:val="000000"/>
        </w:rPr>
        <w:t>17,3 % organizací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vytváří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1D015C">
        <w:rPr>
          <w:rFonts w:ascii="Arial" w:hAnsi="Arial" w:cs="Arial"/>
          <w:b/>
          <w:color w:val="000000"/>
        </w:rPr>
        <w:t>jiné sociální programy</w:t>
      </w:r>
      <w:r>
        <w:rPr>
          <w:rFonts w:ascii="Arial" w:hAnsi="Arial" w:cs="Arial"/>
          <w:color w:val="000000"/>
        </w:rPr>
        <w:t>. Analýza údajů ukázala, že tvorba sociálního fondu je v letošním roce nejčastěji vázána na objem vyplacených mezd, kdy jeho průměrná výše činí 1,9 %, podobně jako u jiných sociálních programů. Pokud organizace využívají příděl do sociálního fondu formou absolutní částky na jednoho zaměstnance ze zisku, činí tato částka 2 295 Kč, resp. 8 196 Kč u jiných sociálních programů. V 16,7 % podnikových kolektivních smluv umožňují zaměstnavatelé čerpat užití fondu formou osobních účtů.</w:t>
      </w:r>
    </w:p>
    <w:p w14:paraId="6633ED17" w14:textId="57E32075" w:rsidR="001D015C" w:rsidRDefault="001D015C" w:rsidP="004B4E88">
      <w:pPr>
        <w:jc w:val="both"/>
        <w:rPr>
          <w:rFonts w:ascii="Arial" w:hAnsi="Arial" w:cs="Arial"/>
          <w:color w:val="000000"/>
        </w:rPr>
      </w:pPr>
    </w:p>
    <w:p w14:paraId="3F611167" w14:textId="77777777" w:rsidR="008313AF" w:rsidRDefault="008313AF" w:rsidP="004B4E88">
      <w:pPr>
        <w:jc w:val="both"/>
        <w:rPr>
          <w:rFonts w:ascii="Arial" w:hAnsi="Arial" w:cs="Arial"/>
          <w:color w:val="000000"/>
        </w:rPr>
      </w:pPr>
    </w:p>
    <w:p w14:paraId="47950C54" w14:textId="00417653" w:rsidR="001D015C" w:rsidRDefault="001D015C" w:rsidP="004B4E8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Pracovní doba a dovolená</w:t>
      </w:r>
    </w:p>
    <w:p w14:paraId="3C06DABE" w14:textId="77777777" w:rsidR="001D015C" w:rsidRDefault="001D015C" w:rsidP="001C7FAE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6E0277E6" w14:textId="77777777" w:rsidR="001D015C" w:rsidRDefault="001D015C" w:rsidP="001C7FAE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Délka pracovní doby</w:t>
      </w:r>
    </w:p>
    <w:p w14:paraId="6FBE9A54" w14:textId="7D2F875A" w:rsidR="001D015C" w:rsidRDefault="001D015C" w:rsidP="001C7FA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Délka pracovní doby je předmětem šetření v 90,3 % podnikových kolektivních smluv, z toho </w:t>
      </w:r>
      <w:r w:rsidRPr="001D015C">
        <w:rPr>
          <w:rFonts w:ascii="Arial" w:hAnsi="Arial" w:cs="Arial"/>
          <w:b/>
          <w:color w:val="000000"/>
        </w:rPr>
        <w:t>59,0 %</w:t>
      </w:r>
      <w:r>
        <w:rPr>
          <w:rFonts w:ascii="Arial" w:hAnsi="Arial" w:cs="Arial"/>
          <w:color w:val="000000"/>
        </w:rPr>
        <w:t xml:space="preserve"> smluv </w:t>
      </w:r>
      <w:r w:rsidRPr="001D015C">
        <w:rPr>
          <w:rFonts w:ascii="Arial" w:hAnsi="Arial" w:cs="Arial"/>
          <w:b/>
          <w:color w:val="000000"/>
        </w:rPr>
        <w:t>uvádí jednotnou délku</w:t>
      </w:r>
      <w:r>
        <w:rPr>
          <w:rFonts w:ascii="Arial" w:hAnsi="Arial" w:cs="Arial"/>
          <w:color w:val="000000"/>
        </w:rPr>
        <w:t xml:space="preserve"> pracovní doby pro celou organizaci a </w:t>
      </w:r>
      <w:r w:rsidRPr="001D015C">
        <w:rPr>
          <w:rFonts w:ascii="Arial" w:hAnsi="Arial" w:cs="Arial"/>
          <w:b/>
          <w:color w:val="000000"/>
        </w:rPr>
        <w:t>31,3 %</w:t>
      </w:r>
      <w:r>
        <w:rPr>
          <w:rFonts w:ascii="Arial" w:hAnsi="Arial" w:cs="Arial"/>
          <w:color w:val="000000"/>
        </w:rPr>
        <w:t xml:space="preserve"> smluv </w:t>
      </w:r>
      <w:r w:rsidRPr="001D015C">
        <w:rPr>
          <w:rFonts w:ascii="Arial" w:hAnsi="Arial" w:cs="Arial"/>
          <w:b/>
          <w:color w:val="000000"/>
        </w:rPr>
        <w:t>sjednává rozdílnou délku</w:t>
      </w:r>
      <w:r>
        <w:rPr>
          <w:rFonts w:ascii="Arial" w:hAnsi="Arial" w:cs="Arial"/>
          <w:color w:val="000000"/>
        </w:rPr>
        <w:t xml:space="preserve"> pracovní doby </w:t>
      </w:r>
      <w:r w:rsidRPr="001D015C">
        <w:rPr>
          <w:rFonts w:ascii="Arial" w:hAnsi="Arial" w:cs="Arial"/>
          <w:b/>
          <w:color w:val="000000"/>
        </w:rPr>
        <w:t>dle směnných režimů</w:t>
      </w:r>
      <w:r>
        <w:rPr>
          <w:rFonts w:ascii="Arial" w:hAnsi="Arial" w:cs="Arial"/>
          <w:color w:val="000000"/>
        </w:rPr>
        <w:t>.</w:t>
      </w:r>
    </w:p>
    <w:p w14:paraId="7E337861" w14:textId="77777777" w:rsidR="001D015C" w:rsidRDefault="001D015C" w:rsidP="001C7FAE">
      <w:pPr>
        <w:jc w:val="both"/>
        <w:rPr>
          <w:rFonts w:ascii="Arial" w:hAnsi="Arial" w:cs="Arial"/>
          <w:color w:val="000000"/>
        </w:rPr>
      </w:pPr>
    </w:p>
    <w:p w14:paraId="179E28C9" w14:textId="7E01F4CF" w:rsidR="001D015C" w:rsidRDefault="001D015C" w:rsidP="001C7FA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Analýza údajů ukázala, že v 78,0 % podnikových kolektivních smluv, které uvádí jednotnou délku pracovní doby pro celou organizaci, je sjednán týdenní fond pracovní doby v délce 37,5 hod/týden, zatímco týdenní fond pracovní doby v délce 40 hod/týden je využíván pouze v 20,6 % podnikových kolektivních smluv.</w:t>
      </w:r>
    </w:p>
    <w:p w14:paraId="298F7120" w14:textId="77777777" w:rsidR="001D015C" w:rsidRDefault="001D015C" w:rsidP="001C7FAE">
      <w:pPr>
        <w:jc w:val="both"/>
        <w:rPr>
          <w:rFonts w:ascii="Arial" w:hAnsi="Arial" w:cs="Arial"/>
          <w:color w:val="000000"/>
        </w:rPr>
      </w:pPr>
    </w:p>
    <w:p w14:paraId="7EF3A4C0" w14:textId="3C0C055D" w:rsidR="001D015C" w:rsidRDefault="001D015C" w:rsidP="000C223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Při stanovení délky týdenní pracovní doby ve směnných režimech je v </w:t>
      </w:r>
      <w:r w:rsidRPr="001D015C">
        <w:rPr>
          <w:rFonts w:ascii="Arial" w:hAnsi="Arial" w:cs="Arial"/>
          <w:b/>
          <w:color w:val="000000"/>
        </w:rPr>
        <w:t>jednosměnném</w:t>
      </w:r>
      <w:r>
        <w:rPr>
          <w:rFonts w:ascii="Arial" w:hAnsi="Arial" w:cs="Arial"/>
          <w:color w:val="000000"/>
        </w:rPr>
        <w:t xml:space="preserve"> pracovním režimu nejčastěji využíván fond týdenní pracovní doby </w:t>
      </w:r>
      <w:r w:rsidRPr="001D015C">
        <w:rPr>
          <w:rFonts w:ascii="Arial" w:hAnsi="Arial" w:cs="Arial"/>
          <w:b/>
          <w:color w:val="000000"/>
        </w:rPr>
        <w:t>40 hod/týden</w:t>
      </w:r>
      <w:r>
        <w:rPr>
          <w:rFonts w:ascii="Arial" w:hAnsi="Arial" w:cs="Arial"/>
          <w:color w:val="000000"/>
        </w:rPr>
        <w:t xml:space="preserve"> (86,3 % PKS), ve </w:t>
      </w:r>
      <w:r w:rsidRPr="001D015C">
        <w:rPr>
          <w:rFonts w:ascii="Arial" w:hAnsi="Arial" w:cs="Arial"/>
          <w:b/>
          <w:color w:val="000000"/>
        </w:rPr>
        <w:t>dvousměnném</w:t>
      </w:r>
      <w:r>
        <w:rPr>
          <w:rFonts w:ascii="Arial" w:hAnsi="Arial" w:cs="Arial"/>
          <w:color w:val="000000"/>
        </w:rPr>
        <w:t xml:space="preserve"> pracovním režimu fond týdenní pracovní doby </w:t>
      </w:r>
      <w:r w:rsidRPr="001D015C">
        <w:rPr>
          <w:rFonts w:ascii="Arial" w:hAnsi="Arial" w:cs="Arial"/>
          <w:b/>
          <w:color w:val="000000"/>
        </w:rPr>
        <w:t>38,75 hod/týden</w:t>
      </w:r>
      <w:r>
        <w:rPr>
          <w:rFonts w:ascii="Arial" w:hAnsi="Arial" w:cs="Arial"/>
          <w:color w:val="000000"/>
        </w:rPr>
        <w:t xml:space="preserve"> (70,2 % PKS), ve </w:t>
      </w:r>
      <w:r w:rsidRPr="001D015C">
        <w:rPr>
          <w:rFonts w:ascii="Arial" w:hAnsi="Arial" w:cs="Arial"/>
          <w:b/>
          <w:color w:val="000000"/>
        </w:rPr>
        <w:t>vícesměnném</w:t>
      </w:r>
      <w:r>
        <w:rPr>
          <w:rFonts w:ascii="Arial" w:hAnsi="Arial" w:cs="Arial"/>
          <w:color w:val="000000"/>
        </w:rPr>
        <w:t xml:space="preserve"> pracovním režimu </w:t>
      </w:r>
      <w:r w:rsidRPr="001D015C">
        <w:rPr>
          <w:rFonts w:ascii="Arial" w:hAnsi="Arial" w:cs="Arial"/>
          <w:b/>
          <w:color w:val="000000"/>
        </w:rPr>
        <w:t>37,5 hod/týden</w:t>
      </w:r>
      <w:r>
        <w:rPr>
          <w:rFonts w:ascii="Arial" w:hAnsi="Arial" w:cs="Arial"/>
          <w:color w:val="000000"/>
        </w:rPr>
        <w:t xml:space="preserve"> (95,2 % PKS) a v </w:t>
      </w:r>
      <w:r w:rsidRPr="001D015C">
        <w:rPr>
          <w:rFonts w:ascii="Arial" w:hAnsi="Arial" w:cs="Arial"/>
          <w:b/>
          <w:color w:val="000000"/>
        </w:rPr>
        <w:t>nepřetržitém</w:t>
      </w:r>
      <w:r>
        <w:rPr>
          <w:rFonts w:ascii="Arial" w:hAnsi="Arial" w:cs="Arial"/>
          <w:color w:val="000000"/>
        </w:rPr>
        <w:t xml:space="preserve"> pracovním režimu </w:t>
      </w:r>
      <w:r w:rsidRPr="001D015C">
        <w:rPr>
          <w:rFonts w:ascii="Arial" w:hAnsi="Arial" w:cs="Arial"/>
          <w:b/>
          <w:color w:val="000000"/>
        </w:rPr>
        <w:t>37,5 hod/týden</w:t>
      </w:r>
      <w:r>
        <w:rPr>
          <w:rFonts w:ascii="Arial" w:hAnsi="Arial" w:cs="Arial"/>
          <w:color w:val="000000"/>
        </w:rPr>
        <w:t xml:space="preserve"> (88,5 % PKS).</w:t>
      </w:r>
    </w:p>
    <w:p w14:paraId="64044891" w14:textId="2C06A435" w:rsidR="001D015C" w:rsidRDefault="001D015C" w:rsidP="000C2235">
      <w:pPr>
        <w:jc w:val="both"/>
        <w:rPr>
          <w:rFonts w:ascii="Arial" w:hAnsi="Arial" w:cs="Arial"/>
          <w:color w:val="000000"/>
        </w:rPr>
      </w:pPr>
    </w:p>
    <w:p w14:paraId="15D65CB3" w14:textId="77777777" w:rsidR="00A64CFC" w:rsidRDefault="00A64CFC" w:rsidP="000C2235">
      <w:pPr>
        <w:jc w:val="both"/>
        <w:rPr>
          <w:rFonts w:ascii="Arial" w:hAnsi="Arial" w:cs="Arial"/>
          <w:color w:val="000000"/>
        </w:rPr>
      </w:pPr>
    </w:p>
    <w:p w14:paraId="04E73AB1" w14:textId="77777777" w:rsidR="001D015C" w:rsidRDefault="001D015C" w:rsidP="000C223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Dovolená</w:t>
      </w:r>
    </w:p>
    <w:p w14:paraId="35C35837" w14:textId="4E8BE737" w:rsidR="001D015C" w:rsidRDefault="001D015C" w:rsidP="000C223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Šetření Informace o pracovních podmínkách sleduje také oblast poskytování dovolené zaměstnancům nad rámec zákoníku práce, podle kterého činí základní výměra dovolené nejméně 4 týdny v kalendářním roce. V letošním roce byla poskytnuta </w:t>
      </w:r>
      <w:r w:rsidRPr="001D015C">
        <w:rPr>
          <w:rFonts w:ascii="Arial" w:hAnsi="Arial" w:cs="Arial"/>
          <w:b/>
          <w:color w:val="000000"/>
        </w:rPr>
        <w:t xml:space="preserve">delší </w:t>
      </w:r>
      <w:r w:rsidRPr="001D015C">
        <w:rPr>
          <w:rFonts w:ascii="Arial" w:hAnsi="Arial" w:cs="Arial"/>
          <w:b/>
          <w:color w:val="000000"/>
        </w:rPr>
        <w:lastRenderedPageBreak/>
        <w:t>dovolená</w:t>
      </w:r>
      <w:r>
        <w:rPr>
          <w:rFonts w:ascii="Arial" w:hAnsi="Arial" w:cs="Arial"/>
          <w:color w:val="000000"/>
        </w:rPr>
        <w:t xml:space="preserve"> v </w:t>
      </w:r>
      <w:r w:rsidRPr="001D015C">
        <w:rPr>
          <w:rFonts w:ascii="Arial" w:hAnsi="Arial" w:cs="Arial"/>
          <w:b/>
          <w:color w:val="000000"/>
        </w:rPr>
        <w:t>89,6 %</w:t>
      </w:r>
      <w:r>
        <w:rPr>
          <w:rFonts w:ascii="Arial" w:hAnsi="Arial" w:cs="Arial"/>
          <w:color w:val="000000"/>
        </w:rPr>
        <w:t xml:space="preserve"> podnikových kolektivních smluv. </w:t>
      </w:r>
      <w:r w:rsidRPr="001D015C">
        <w:rPr>
          <w:rFonts w:ascii="Arial" w:hAnsi="Arial" w:cs="Arial"/>
          <w:b/>
          <w:color w:val="000000"/>
        </w:rPr>
        <w:t>Prodloužení</w:t>
      </w:r>
      <w:r>
        <w:rPr>
          <w:rFonts w:ascii="Arial" w:hAnsi="Arial" w:cs="Arial"/>
          <w:color w:val="000000"/>
        </w:rPr>
        <w:t xml:space="preserve"> délky dovolené </w:t>
      </w:r>
      <w:r w:rsidRPr="001D015C">
        <w:rPr>
          <w:rFonts w:ascii="Arial" w:hAnsi="Arial" w:cs="Arial"/>
          <w:b/>
          <w:color w:val="000000"/>
        </w:rPr>
        <w:t>o jeden týden je sjednáno</w:t>
      </w:r>
      <w:r>
        <w:rPr>
          <w:rFonts w:ascii="Arial" w:hAnsi="Arial" w:cs="Arial"/>
          <w:color w:val="000000"/>
        </w:rPr>
        <w:t xml:space="preserve"> v </w:t>
      </w:r>
      <w:r w:rsidRPr="001D015C">
        <w:rPr>
          <w:rFonts w:ascii="Arial" w:hAnsi="Arial" w:cs="Arial"/>
          <w:b/>
          <w:color w:val="000000"/>
        </w:rPr>
        <w:t>78,0 %</w:t>
      </w:r>
      <w:r>
        <w:rPr>
          <w:rFonts w:ascii="Arial" w:hAnsi="Arial" w:cs="Arial"/>
          <w:color w:val="000000"/>
        </w:rPr>
        <w:t xml:space="preserve"> podnikových kolektivních smluv a </w:t>
      </w:r>
      <w:r w:rsidRPr="001D015C">
        <w:rPr>
          <w:rFonts w:ascii="Arial" w:hAnsi="Arial" w:cs="Arial"/>
          <w:b/>
          <w:color w:val="000000"/>
        </w:rPr>
        <w:t>2,8 %</w:t>
      </w:r>
      <w:r>
        <w:rPr>
          <w:rFonts w:ascii="Arial" w:hAnsi="Arial" w:cs="Arial"/>
          <w:color w:val="000000"/>
        </w:rPr>
        <w:t xml:space="preserve"> podnikových kolektivních smluv prodlužuje délku dovolené </w:t>
      </w:r>
      <w:r w:rsidRPr="001D015C">
        <w:rPr>
          <w:rFonts w:ascii="Arial" w:hAnsi="Arial" w:cs="Arial"/>
          <w:b/>
          <w:color w:val="000000"/>
        </w:rPr>
        <w:t>o dva týdny</w:t>
      </w:r>
      <w:r>
        <w:rPr>
          <w:rFonts w:ascii="Arial" w:hAnsi="Arial" w:cs="Arial"/>
          <w:color w:val="000000"/>
        </w:rPr>
        <w:t>. Šetření ukázalo, že pouze </w:t>
      </w:r>
      <w:r w:rsidRPr="001D015C">
        <w:rPr>
          <w:rFonts w:ascii="Arial" w:hAnsi="Arial" w:cs="Arial"/>
          <w:b/>
          <w:color w:val="000000"/>
        </w:rPr>
        <w:t>8,8 % podnikových kolektivních smluv zvyšuje</w:t>
      </w:r>
      <w:r>
        <w:rPr>
          <w:rFonts w:ascii="Arial" w:hAnsi="Arial" w:cs="Arial"/>
          <w:color w:val="000000"/>
        </w:rPr>
        <w:t xml:space="preserve"> nárok na dovolenou </w:t>
      </w:r>
      <w:r w:rsidRPr="001D015C">
        <w:rPr>
          <w:rFonts w:ascii="Arial" w:hAnsi="Arial" w:cs="Arial"/>
          <w:b/>
          <w:color w:val="000000"/>
        </w:rPr>
        <w:t>ve dnech</w:t>
      </w:r>
      <w:r>
        <w:rPr>
          <w:rFonts w:ascii="Arial" w:hAnsi="Arial" w:cs="Arial"/>
          <w:color w:val="000000"/>
        </w:rPr>
        <w:t>, přičemž průměrný počet dnů, o které byla tato dovolená navýšena, činí 4,4 dny.</w:t>
      </w:r>
    </w:p>
    <w:p w14:paraId="7E92E351" w14:textId="66833B97" w:rsidR="00D80DA2" w:rsidRPr="001D015C" w:rsidRDefault="00D80DA2" w:rsidP="000C2235"/>
    <w:sectPr w:rsidR="00D80DA2" w:rsidRPr="001D015C" w:rsidSect="00B67B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5836" w14:textId="77777777" w:rsidR="0001035D" w:rsidRDefault="0001035D" w:rsidP="00CB4783">
      <w:r>
        <w:separator/>
      </w:r>
    </w:p>
  </w:endnote>
  <w:endnote w:type="continuationSeparator" w:id="0">
    <w:p w14:paraId="1B6680CD" w14:textId="77777777" w:rsidR="0001035D" w:rsidRDefault="0001035D" w:rsidP="00C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BAE9" w14:textId="77777777" w:rsidR="0001035D" w:rsidRDefault="0001035D" w:rsidP="00CB4783">
      <w:r>
        <w:separator/>
      </w:r>
    </w:p>
  </w:footnote>
  <w:footnote w:type="continuationSeparator" w:id="0">
    <w:p w14:paraId="40AB32BE" w14:textId="77777777" w:rsidR="0001035D" w:rsidRDefault="0001035D" w:rsidP="00CB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268"/>
    <w:multiLevelType w:val="hybridMultilevel"/>
    <w:tmpl w:val="3346861A"/>
    <w:lvl w:ilvl="0" w:tplc="CDF6E4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608A"/>
    <w:multiLevelType w:val="multilevel"/>
    <w:tmpl w:val="92C4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F3AA3"/>
    <w:multiLevelType w:val="hybridMultilevel"/>
    <w:tmpl w:val="9B12716A"/>
    <w:lvl w:ilvl="0" w:tplc="164E0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7E25"/>
    <w:multiLevelType w:val="hybridMultilevel"/>
    <w:tmpl w:val="A9107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45798"/>
    <w:multiLevelType w:val="hybridMultilevel"/>
    <w:tmpl w:val="987A2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D60"/>
    <w:multiLevelType w:val="hybridMultilevel"/>
    <w:tmpl w:val="4612B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C0EBD"/>
    <w:multiLevelType w:val="hybridMultilevel"/>
    <w:tmpl w:val="E4BED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C76B7"/>
    <w:multiLevelType w:val="hybridMultilevel"/>
    <w:tmpl w:val="24064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76C5A"/>
    <w:multiLevelType w:val="hybridMultilevel"/>
    <w:tmpl w:val="252C8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16181">
    <w:abstractNumId w:val="2"/>
  </w:num>
  <w:num w:numId="2" w16cid:durableId="576984855">
    <w:abstractNumId w:val="7"/>
  </w:num>
  <w:num w:numId="3" w16cid:durableId="897864926">
    <w:abstractNumId w:val="1"/>
  </w:num>
  <w:num w:numId="4" w16cid:durableId="1250770636">
    <w:abstractNumId w:val="3"/>
  </w:num>
  <w:num w:numId="5" w16cid:durableId="703596473">
    <w:abstractNumId w:val="8"/>
  </w:num>
  <w:num w:numId="6" w16cid:durableId="1388450846">
    <w:abstractNumId w:val="0"/>
  </w:num>
  <w:num w:numId="7" w16cid:durableId="1224440578">
    <w:abstractNumId w:val="5"/>
  </w:num>
  <w:num w:numId="8" w16cid:durableId="136799254">
    <w:abstractNumId w:val="6"/>
  </w:num>
  <w:num w:numId="9" w16cid:durableId="153013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95"/>
    <w:rsid w:val="00001268"/>
    <w:rsid w:val="000034D4"/>
    <w:rsid w:val="0000663D"/>
    <w:rsid w:val="000073A3"/>
    <w:rsid w:val="0001035D"/>
    <w:rsid w:val="00010530"/>
    <w:rsid w:val="00010C77"/>
    <w:rsid w:val="00011617"/>
    <w:rsid w:val="00015162"/>
    <w:rsid w:val="00016EBE"/>
    <w:rsid w:val="00021747"/>
    <w:rsid w:val="00024D3C"/>
    <w:rsid w:val="00024EB9"/>
    <w:rsid w:val="000260B0"/>
    <w:rsid w:val="00030D5D"/>
    <w:rsid w:val="00031038"/>
    <w:rsid w:val="00037643"/>
    <w:rsid w:val="00047C5B"/>
    <w:rsid w:val="00051021"/>
    <w:rsid w:val="0005130F"/>
    <w:rsid w:val="000560DB"/>
    <w:rsid w:val="00064198"/>
    <w:rsid w:val="00065E5F"/>
    <w:rsid w:val="00066058"/>
    <w:rsid w:val="00067545"/>
    <w:rsid w:val="00070060"/>
    <w:rsid w:val="00070801"/>
    <w:rsid w:val="00077104"/>
    <w:rsid w:val="000802A3"/>
    <w:rsid w:val="0008085B"/>
    <w:rsid w:val="00082786"/>
    <w:rsid w:val="00085E66"/>
    <w:rsid w:val="00090718"/>
    <w:rsid w:val="0009304B"/>
    <w:rsid w:val="000A1A94"/>
    <w:rsid w:val="000A1BA8"/>
    <w:rsid w:val="000B0493"/>
    <w:rsid w:val="000B135D"/>
    <w:rsid w:val="000C1146"/>
    <w:rsid w:val="000C2235"/>
    <w:rsid w:val="000C6146"/>
    <w:rsid w:val="000D103D"/>
    <w:rsid w:val="000D2A9E"/>
    <w:rsid w:val="000D30D3"/>
    <w:rsid w:val="000E00BE"/>
    <w:rsid w:val="000E0811"/>
    <w:rsid w:val="000E3030"/>
    <w:rsid w:val="000E3141"/>
    <w:rsid w:val="000E52A2"/>
    <w:rsid w:val="000E55C2"/>
    <w:rsid w:val="000F3002"/>
    <w:rsid w:val="000F3975"/>
    <w:rsid w:val="000F46A8"/>
    <w:rsid w:val="0010068A"/>
    <w:rsid w:val="00103111"/>
    <w:rsid w:val="001050EC"/>
    <w:rsid w:val="001052A3"/>
    <w:rsid w:val="00106A34"/>
    <w:rsid w:val="00112427"/>
    <w:rsid w:val="001148B1"/>
    <w:rsid w:val="00114DC7"/>
    <w:rsid w:val="00115637"/>
    <w:rsid w:val="00117EDF"/>
    <w:rsid w:val="001222CE"/>
    <w:rsid w:val="00122C46"/>
    <w:rsid w:val="00123E1C"/>
    <w:rsid w:val="00125098"/>
    <w:rsid w:val="001256D5"/>
    <w:rsid w:val="00125758"/>
    <w:rsid w:val="001267B5"/>
    <w:rsid w:val="00131E75"/>
    <w:rsid w:val="00132648"/>
    <w:rsid w:val="00137A2E"/>
    <w:rsid w:val="00142C20"/>
    <w:rsid w:val="00144E76"/>
    <w:rsid w:val="001458D3"/>
    <w:rsid w:val="00145CF7"/>
    <w:rsid w:val="001561AF"/>
    <w:rsid w:val="001563A1"/>
    <w:rsid w:val="00156D7E"/>
    <w:rsid w:val="00157D15"/>
    <w:rsid w:val="00157D34"/>
    <w:rsid w:val="00161A5D"/>
    <w:rsid w:val="001628E1"/>
    <w:rsid w:val="00167BCE"/>
    <w:rsid w:val="00167DAF"/>
    <w:rsid w:val="0017095F"/>
    <w:rsid w:val="00172C4A"/>
    <w:rsid w:val="00173AC4"/>
    <w:rsid w:val="001740EC"/>
    <w:rsid w:val="00174721"/>
    <w:rsid w:val="001765CA"/>
    <w:rsid w:val="00176777"/>
    <w:rsid w:val="00177DF4"/>
    <w:rsid w:val="00186B9C"/>
    <w:rsid w:val="00186F87"/>
    <w:rsid w:val="0019340A"/>
    <w:rsid w:val="001941A2"/>
    <w:rsid w:val="00196399"/>
    <w:rsid w:val="001A156C"/>
    <w:rsid w:val="001A2B3F"/>
    <w:rsid w:val="001A6D3F"/>
    <w:rsid w:val="001B5CAC"/>
    <w:rsid w:val="001B7803"/>
    <w:rsid w:val="001C7742"/>
    <w:rsid w:val="001C7ADD"/>
    <w:rsid w:val="001C7FAE"/>
    <w:rsid w:val="001D015C"/>
    <w:rsid w:val="001D246B"/>
    <w:rsid w:val="001D3865"/>
    <w:rsid w:val="001D3E23"/>
    <w:rsid w:val="001D4397"/>
    <w:rsid w:val="001E744E"/>
    <w:rsid w:val="001E7748"/>
    <w:rsid w:val="001F6AEA"/>
    <w:rsid w:val="00201C2C"/>
    <w:rsid w:val="00205209"/>
    <w:rsid w:val="00207B64"/>
    <w:rsid w:val="00210E30"/>
    <w:rsid w:val="00211642"/>
    <w:rsid w:val="002150E6"/>
    <w:rsid w:val="00215FA3"/>
    <w:rsid w:val="00217D6A"/>
    <w:rsid w:val="00220790"/>
    <w:rsid w:val="002224FB"/>
    <w:rsid w:val="0022294A"/>
    <w:rsid w:val="00224AE3"/>
    <w:rsid w:val="00227F63"/>
    <w:rsid w:val="00240036"/>
    <w:rsid w:val="00247CBC"/>
    <w:rsid w:val="002524AE"/>
    <w:rsid w:val="00253FB5"/>
    <w:rsid w:val="00260654"/>
    <w:rsid w:val="002614D2"/>
    <w:rsid w:val="0027155A"/>
    <w:rsid w:val="002724DF"/>
    <w:rsid w:val="00272DA2"/>
    <w:rsid w:val="00273A2A"/>
    <w:rsid w:val="00273A93"/>
    <w:rsid w:val="00273AE7"/>
    <w:rsid w:val="00274DBA"/>
    <w:rsid w:val="002829B7"/>
    <w:rsid w:val="00283019"/>
    <w:rsid w:val="002839AF"/>
    <w:rsid w:val="002854D5"/>
    <w:rsid w:val="00290C31"/>
    <w:rsid w:val="00292D8E"/>
    <w:rsid w:val="00295F81"/>
    <w:rsid w:val="0029724F"/>
    <w:rsid w:val="0029750E"/>
    <w:rsid w:val="002A0E4B"/>
    <w:rsid w:val="002A780E"/>
    <w:rsid w:val="002B207E"/>
    <w:rsid w:val="002B2714"/>
    <w:rsid w:val="002B3612"/>
    <w:rsid w:val="002B4FAA"/>
    <w:rsid w:val="002B6917"/>
    <w:rsid w:val="002B6C4C"/>
    <w:rsid w:val="002B7B2A"/>
    <w:rsid w:val="002C1BD2"/>
    <w:rsid w:val="002C27B5"/>
    <w:rsid w:val="002C38D7"/>
    <w:rsid w:val="002D1982"/>
    <w:rsid w:val="002D2545"/>
    <w:rsid w:val="002E16C2"/>
    <w:rsid w:val="002E26F6"/>
    <w:rsid w:val="002E38B6"/>
    <w:rsid w:val="002E49B5"/>
    <w:rsid w:val="002F4B32"/>
    <w:rsid w:val="002F57A6"/>
    <w:rsid w:val="00300AB3"/>
    <w:rsid w:val="00301B3B"/>
    <w:rsid w:val="003034BC"/>
    <w:rsid w:val="00304313"/>
    <w:rsid w:val="00304B95"/>
    <w:rsid w:val="00305472"/>
    <w:rsid w:val="003076CA"/>
    <w:rsid w:val="00307D08"/>
    <w:rsid w:val="00311F1A"/>
    <w:rsid w:val="003129EB"/>
    <w:rsid w:val="00312BD0"/>
    <w:rsid w:val="00314DDC"/>
    <w:rsid w:val="00316A60"/>
    <w:rsid w:val="00327211"/>
    <w:rsid w:val="003301A0"/>
    <w:rsid w:val="00330B92"/>
    <w:rsid w:val="00330EB0"/>
    <w:rsid w:val="00334B7F"/>
    <w:rsid w:val="00340E08"/>
    <w:rsid w:val="0034538F"/>
    <w:rsid w:val="003455C2"/>
    <w:rsid w:val="003505BD"/>
    <w:rsid w:val="00350FA5"/>
    <w:rsid w:val="00353A6B"/>
    <w:rsid w:val="0035765F"/>
    <w:rsid w:val="0036168F"/>
    <w:rsid w:val="003629AD"/>
    <w:rsid w:val="003652FE"/>
    <w:rsid w:val="0036650B"/>
    <w:rsid w:val="00371EE5"/>
    <w:rsid w:val="003727A7"/>
    <w:rsid w:val="00373F23"/>
    <w:rsid w:val="00375FF7"/>
    <w:rsid w:val="003776DB"/>
    <w:rsid w:val="00377B0A"/>
    <w:rsid w:val="00377DE4"/>
    <w:rsid w:val="00381225"/>
    <w:rsid w:val="003839B8"/>
    <w:rsid w:val="0038564C"/>
    <w:rsid w:val="003865CE"/>
    <w:rsid w:val="00386EA4"/>
    <w:rsid w:val="00390882"/>
    <w:rsid w:val="003B16B2"/>
    <w:rsid w:val="003B19EE"/>
    <w:rsid w:val="003B6673"/>
    <w:rsid w:val="003C79C8"/>
    <w:rsid w:val="003D0B20"/>
    <w:rsid w:val="003D4ED9"/>
    <w:rsid w:val="003D7ECE"/>
    <w:rsid w:val="003E0AC5"/>
    <w:rsid w:val="003E3C9F"/>
    <w:rsid w:val="003E5D4B"/>
    <w:rsid w:val="003E71EC"/>
    <w:rsid w:val="003F0F36"/>
    <w:rsid w:val="003F21B9"/>
    <w:rsid w:val="003F2FFB"/>
    <w:rsid w:val="003F592D"/>
    <w:rsid w:val="004042CC"/>
    <w:rsid w:val="0040645E"/>
    <w:rsid w:val="0041175D"/>
    <w:rsid w:val="00412D0D"/>
    <w:rsid w:val="004146D7"/>
    <w:rsid w:val="00414939"/>
    <w:rsid w:val="004172EE"/>
    <w:rsid w:val="00417345"/>
    <w:rsid w:val="00417580"/>
    <w:rsid w:val="0042222A"/>
    <w:rsid w:val="0042235D"/>
    <w:rsid w:val="00430329"/>
    <w:rsid w:val="0043090D"/>
    <w:rsid w:val="00432AAC"/>
    <w:rsid w:val="00433162"/>
    <w:rsid w:val="00435ED7"/>
    <w:rsid w:val="00440286"/>
    <w:rsid w:val="004450CB"/>
    <w:rsid w:val="004453CF"/>
    <w:rsid w:val="00454E39"/>
    <w:rsid w:val="00455BCF"/>
    <w:rsid w:val="00462667"/>
    <w:rsid w:val="00462C86"/>
    <w:rsid w:val="00464EC0"/>
    <w:rsid w:val="00465486"/>
    <w:rsid w:val="004658B3"/>
    <w:rsid w:val="00466319"/>
    <w:rsid w:val="004725C8"/>
    <w:rsid w:val="0047703C"/>
    <w:rsid w:val="0047772A"/>
    <w:rsid w:val="00482157"/>
    <w:rsid w:val="00483066"/>
    <w:rsid w:val="004939F4"/>
    <w:rsid w:val="0049685C"/>
    <w:rsid w:val="00497CCD"/>
    <w:rsid w:val="004A061F"/>
    <w:rsid w:val="004A388C"/>
    <w:rsid w:val="004B0D63"/>
    <w:rsid w:val="004B4E88"/>
    <w:rsid w:val="004C5C51"/>
    <w:rsid w:val="004C7030"/>
    <w:rsid w:val="004D571C"/>
    <w:rsid w:val="004D5801"/>
    <w:rsid w:val="004D6390"/>
    <w:rsid w:val="004E52D7"/>
    <w:rsid w:val="004F0CDA"/>
    <w:rsid w:val="004F1139"/>
    <w:rsid w:val="004F22C6"/>
    <w:rsid w:val="004F4E8B"/>
    <w:rsid w:val="004F6AA7"/>
    <w:rsid w:val="005001DB"/>
    <w:rsid w:val="005016DC"/>
    <w:rsid w:val="00501CAD"/>
    <w:rsid w:val="00501E4E"/>
    <w:rsid w:val="00501E9F"/>
    <w:rsid w:val="00504C18"/>
    <w:rsid w:val="005067D1"/>
    <w:rsid w:val="0051033C"/>
    <w:rsid w:val="005117D1"/>
    <w:rsid w:val="00511ADC"/>
    <w:rsid w:val="00514DD2"/>
    <w:rsid w:val="00516FF9"/>
    <w:rsid w:val="00521219"/>
    <w:rsid w:val="00525B9B"/>
    <w:rsid w:val="00526355"/>
    <w:rsid w:val="00530553"/>
    <w:rsid w:val="00532DB1"/>
    <w:rsid w:val="00540F5D"/>
    <w:rsid w:val="00540FF9"/>
    <w:rsid w:val="00541B8B"/>
    <w:rsid w:val="00542508"/>
    <w:rsid w:val="00542D8E"/>
    <w:rsid w:val="0054698D"/>
    <w:rsid w:val="00552D60"/>
    <w:rsid w:val="00553783"/>
    <w:rsid w:val="00554880"/>
    <w:rsid w:val="00556FF0"/>
    <w:rsid w:val="00560D88"/>
    <w:rsid w:val="00562843"/>
    <w:rsid w:val="00563369"/>
    <w:rsid w:val="005661F2"/>
    <w:rsid w:val="00566ECB"/>
    <w:rsid w:val="00567584"/>
    <w:rsid w:val="00567980"/>
    <w:rsid w:val="00570AC6"/>
    <w:rsid w:val="00570F0B"/>
    <w:rsid w:val="005722E8"/>
    <w:rsid w:val="0057234F"/>
    <w:rsid w:val="00573B91"/>
    <w:rsid w:val="005771E0"/>
    <w:rsid w:val="00583739"/>
    <w:rsid w:val="00583D76"/>
    <w:rsid w:val="00584869"/>
    <w:rsid w:val="005863C5"/>
    <w:rsid w:val="00587283"/>
    <w:rsid w:val="0059258C"/>
    <w:rsid w:val="0059761E"/>
    <w:rsid w:val="005A0A7E"/>
    <w:rsid w:val="005A1833"/>
    <w:rsid w:val="005A25F9"/>
    <w:rsid w:val="005A386D"/>
    <w:rsid w:val="005A5322"/>
    <w:rsid w:val="005B197B"/>
    <w:rsid w:val="005B2A64"/>
    <w:rsid w:val="005B3643"/>
    <w:rsid w:val="005C3246"/>
    <w:rsid w:val="005C3A2D"/>
    <w:rsid w:val="005C56A1"/>
    <w:rsid w:val="005D0B46"/>
    <w:rsid w:val="005D0D42"/>
    <w:rsid w:val="005D320B"/>
    <w:rsid w:val="005D3366"/>
    <w:rsid w:val="005D3F21"/>
    <w:rsid w:val="005D61CF"/>
    <w:rsid w:val="005E3917"/>
    <w:rsid w:val="005E5687"/>
    <w:rsid w:val="005E6469"/>
    <w:rsid w:val="005F7167"/>
    <w:rsid w:val="00601C7C"/>
    <w:rsid w:val="006020DF"/>
    <w:rsid w:val="00603497"/>
    <w:rsid w:val="006075E4"/>
    <w:rsid w:val="00610024"/>
    <w:rsid w:val="0061018D"/>
    <w:rsid w:val="006121AC"/>
    <w:rsid w:val="0061278A"/>
    <w:rsid w:val="00614FCF"/>
    <w:rsid w:val="00615645"/>
    <w:rsid w:val="006157DF"/>
    <w:rsid w:val="00615FCE"/>
    <w:rsid w:val="0062100A"/>
    <w:rsid w:val="00622812"/>
    <w:rsid w:val="00624945"/>
    <w:rsid w:val="00625F90"/>
    <w:rsid w:val="006265B8"/>
    <w:rsid w:val="00630A24"/>
    <w:rsid w:val="00631080"/>
    <w:rsid w:val="006331CC"/>
    <w:rsid w:val="00634472"/>
    <w:rsid w:val="006370A2"/>
    <w:rsid w:val="00641992"/>
    <w:rsid w:val="006423EA"/>
    <w:rsid w:val="0064644B"/>
    <w:rsid w:val="0064721F"/>
    <w:rsid w:val="006521F3"/>
    <w:rsid w:val="00652971"/>
    <w:rsid w:val="006545C5"/>
    <w:rsid w:val="00655DE7"/>
    <w:rsid w:val="00662DFC"/>
    <w:rsid w:val="00663A12"/>
    <w:rsid w:val="006658DE"/>
    <w:rsid w:val="0067000A"/>
    <w:rsid w:val="00674336"/>
    <w:rsid w:val="00677BD2"/>
    <w:rsid w:val="00677C25"/>
    <w:rsid w:val="0068192B"/>
    <w:rsid w:val="00683A2B"/>
    <w:rsid w:val="0068410C"/>
    <w:rsid w:val="006852DB"/>
    <w:rsid w:val="00691E11"/>
    <w:rsid w:val="0069204B"/>
    <w:rsid w:val="0069245A"/>
    <w:rsid w:val="006928AC"/>
    <w:rsid w:val="00694C19"/>
    <w:rsid w:val="006974A0"/>
    <w:rsid w:val="006A08BA"/>
    <w:rsid w:val="006A33A1"/>
    <w:rsid w:val="006A651E"/>
    <w:rsid w:val="006A6EAF"/>
    <w:rsid w:val="006A7BD6"/>
    <w:rsid w:val="006B3484"/>
    <w:rsid w:val="006B4565"/>
    <w:rsid w:val="006B528D"/>
    <w:rsid w:val="006C768D"/>
    <w:rsid w:val="006D1390"/>
    <w:rsid w:val="006D50D6"/>
    <w:rsid w:val="006D5E62"/>
    <w:rsid w:val="006E0CC2"/>
    <w:rsid w:val="006E1631"/>
    <w:rsid w:val="006E3EBF"/>
    <w:rsid w:val="006E4273"/>
    <w:rsid w:val="006F1A72"/>
    <w:rsid w:val="006F21A5"/>
    <w:rsid w:val="00700C45"/>
    <w:rsid w:val="00701015"/>
    <w:rsid w:val="00701600"/>
    <w:rsid w:val="007046A8"/>
    <w:rsid w:val="00706828"/>
    <w:rsid w:val="007113AD"/>
    <w:rsid w:val="00712470"/>
    <w:rsid w:val="00720EF2"/>
    <w:rsid w:val="00726DC1"/>
    <w:rsid w:val="00730B5E"/>
    <w:rsid w:val="00733D32"/>
    <w:rsid w:val="0073475D"/>
    <w:rsid w:val="007355FF"/>
    <w:rsid w:val="00735A54"/>
    <w:rsid w:val="00737347"/>
    <w:rsid w:val="00740B2F"/>
    <w:rsid w:val="00740C62"/>
    <w:rsid w:val="00744D67"/>
    <w:rsid w:val="00746099"/>
    <w:rsid w:val="00746A9B"/>
    <w:rsid w:val="00746DD3"/>
    <w:rsid w:val="00752341"/>
    <w:rsid w:val="00754EF3"/>
    <w:rsid w:val="007600CB"/>
    <w:rsid w:val="0076793D"/>
    <w:rsid w:val="0077214D"/>
    <w:rsid w:val="0077240A"/>
    <w:rsid w:val="00772A89"/>
    <w:rsid w:val="00773313"/>
    <w:rsid w:val="00773FB7"/>
    <w:rsid w:val="007741E1"/>
    <w:rsid w:val="00774A0E"/>
    <w:rsid w:val="00782940"/>
    <w:rsid w:val="007833FF"/>
    <w:rsid w:val="00787E0C"/>
    <w:rsid w:val="00791E63"/>
    <w:rsid w:val="00794005"/>
    <w:rsid w:val="007A1748"/>
    <w:rsid w:val="007A3DF7"/>
    <w:rsid w:val="007A3E45"/>
    <w:rsid w:val="007A4468"/>
    <w:rsid w:val="007A5600"/>
    <w:rsid w:val="007A616A"/>
    <w:rsid w:val="007A6FA9"/>
    <w:rsid w:val="007B21B2"/>
    <w:rsid w:val="007B45C9"/>
    <w:rsid w:val="007B644E"/>
    <w:rsid w:val="007B7811"/>
    <w:rsid w:val="007C15E8"/>
    <w:rsid w:val="007C1A1D"/>
    <w:rsid w:val="007C2675"/>
    <w:rsid w:val="007C2BC8"/>
    <w:rsid w:val="007C2EBA"/>
    <w:rsid w:val="007C2F89"/>
    <w:rsid w:val="007D3F49"/>
    <w:rsid w:val="007D4C1C"/>
    <w:rsid w:val="007D592C"/>
    <w:rsid w:val="007D7DF3"/>
    <w:rsid w:val="007E21F6"/>
    <w:rsid w:val="007E5A15"/>
    <w:rsid w:val="007E7A2A"/>
    <w:rsid w:val="007E7C99"/>
    <w:rsid w:val="007F56E5"/>
    <w:rsid w:val="007F6823"/>
    <w:rsid w:val="007F744E"/>
    <w:rsid w:val="00800497"/>
    <w:rsid w:val="00803E5F"/>
    <w:rsid w:val="008057DA"/>
    <w:rsid w:val="00805867"/>
    <w:rsid w:val="00806750"/>
    <w:rsid w:val="00810824"/>
    <w:rsid w:val="008142AA"/>
    <w:rsid w:val="00814751"/>
    <w:rsid w:val="0081682B"/>
    <w:rsid w:val="008178F8"/>
    <w:rsid w:val="00823861"/>
    <w:rsid w:val="0082441A"/>
    <w:rsid w:val="0082469A"/>
    <w:rsid w:val="00825069"/>
    <w:rsid w:val="0082602F"/>
    <w:rsid w:val="00830079"/>
    <w:rsid w:val="008313AF"/>
    <w:rsid w:val="0083271F"/>
    <w:rsid w:val="00832A45"/>
    <w:rsid w:val="00842F6C"/>
    <w:rsid w:val="008454AF"/>
    <w:rsid w:val="0084636F"/>
    <w:rsid w:val="00853089"/>
    <w:rsid w:val="00861D41"/>
    <w:rsid w:val="008620A2"/>
    <w:rsid w:val="00862EE5"/>
    <w:rsid w:val="00864EDD"/>
    <w:rsid w:val="00865453"/>
    <w:rsid w:val="00866305"/>
    <w:rsid w:val="00874D10"/>
    <w:rsid w:val="00875760"/>
    <w:rsid w:val="0087636C"/>
    <w:rsid w:val="00877065"/>
    <w:rsid w:val="0087721F"/>
    <w:rsid w:val="008808F4"/>
    <w:rsid w:val="0088492B"/>
    <w:rsid w:val="00886C8E"/>
    <w:rsid w:val="00891476"/>
    <w:rsid w:val="00891F62"/>
    <w:rsid w:val="00893D37"/>
    <w:rsid w:val="00894E4F"/>
    <w:rsid w:val="00895ECE"/>
    <w:rsid w:val="00896D22"/>
    <w:rsid w:val="00896DE5"/>
    <w:rsid w:val="008A0E19"/>
    <w:rsid w:val="008A2989"/>
    <w:rsid w:val="008B0914"/>
    <w:rsid w:val="008B095F"/>
    <w:rsid w:val="008B18B9"/>
    <w:rsid w:val="008B46F3"/>
    <w:rsid w:val="008C5497"/>
    <w:rsid w:val="008D1C3E"/>
    <w:rsid w:val="008D1DDA"/>
    <w:rsid w:val="008D7568"/>
    <w:rsid w:val="008E31D8"/>
    <w:rsid w:val="008E6109"/>
    <w:rsid w:val="008E6D30"/>
    <w:rsid w:val="008F243D"/>
    <w:rsid w:val="008F7A68"/>
    <w:rsid w:val="009011DB"/>
    <w:rsid w:val="0090183B"/>
    <w:rsid w:val="00903F8F"/>
    <w:rsid w:val="00904C4A"/>
    <w:rsid w:val="00912C2F"/>
    <w:rsid w:val="0091391A"/>
    <w:rsid w:val="00915647"/>
    <w:rsid w:val="00917295"/>
    <w:rsid w:val="00917591"/>
    <w:rsid w:val="00921B03"/>
    <w:rsid w:val="00922271"/>
    <w:rsid w:val="009225BF"/>
    <w:rsid w:val="009235CE"/>
    <w:rsid w:val="00923672"/>
    <w:rsid w:val="009240B6"/>
    <w:rsid w:val="00924A8A"/>
    <w:rsid w:val="00931C62"/>
    <w:rsid w:val="00932C73"/>
    <w:rsid w:val="009349DE"/>
    <w:rsid w:val="009452CF"/>
    <w:rsid w:val="009463D0"/>
    <w:rsid w:val="00947C4D"/>
    <w:rsid w:val="0095075F"/>
    <w:rsid w:val="00951A73"/>
    <w:rsid w:val="0096036E"/>
    <w:rsid w:val="00961585"/>
    <w:rsid w:val="00972B38"/>
    <w:rsid w:val="00974666"/>
    <w:rsid w:val="0097470C"/>
    <w:rsid w:val="00977304"/>
    <w:rsid w:val="00981C5C"/>
    <w:rsid w:val="00983608"/>
    <w:rsid w:val="00985BF5"/>
    <w:rsid w:val="00991B5A"/>
    <w:rsid w:val="009931E9"/>
    <w:rsid w:val="00994C28"/>
    <w:rsid w:val="009A13C6"/>
    <w:rsid w:val="009A36DF"/>
    <w:rsid w:val="009A5D87"/>
    <w:rsid w:val="009A61B1"/>
    <w:rsid w:val="009B3E7F"/>
    <w:rsid w:val="009B44DD"/>
    <w:rsid w:val="009B65FA"/>
    <w:rsid w:val="009C09E1"/>
    <w:rsid w:val="009C1D47"/>
    <w:rsid w:val="009C24C7"/>
    <w:rsid w:val="009C43AF"/>
    <w:rsid w:val="009C5D3F"/>
    <w:rsid w:val="009C5EDB"/>
    <w:rsid w:val="009D14DA"/>
    <w:rsid w:val="009D1D73"/>
    <w:rsid w:val="009D63CB"/>
    <w:rsid w:val="009E1603"/>
    <w:rsid w:val="009E1882"/>
    <w:rsid w:val="009E3C25"/>
    <w:rsid w:val="009E4F2C"/>
    <w:rsid w:val="009E50C9"/>
    <w:rsid w:val="009E674A"/>
    <w:rsid w:val="009E6F59"/>
    <w:rsid w:val="009F0DBA"/>
    <w:rsid w:val="009F14EF"/>
    <w:rsid w:val="009F21FF"/>
    <w:rsid w:val="009F5780"/>
    <w:rsid w:val="009F6149"/>
    <w:rsid w:val="009F69D9"/>
    <w:rsid w:val="00A00E98"/>
    <w:rsid w:val="00A02685"/>
    <w:rsid w:val="00A02BFE"/>
    <w:rsid w:val="00A06F95"/>
    <w:rsid w:val="00A11905"/>
    <w:rsid w:val="00A131ED"/>
    <w:rsid w:val="00A14A2E"/>
    <w:rsid w:val="00A22A22"/>
    <w:rsid w:val="00A253E7"/>
    <w:rsid w:val="00A264F6"/>
    <w:rsid w:val="00A336B2"/>
    <w:rsid w:val="00A33FD7"/>
    <w:rsid w:val="00A37135"/>
    <w:rsid w:val="00A540E1"/>
    <w:rsid w:val="00A60874"/>
    <w:rsid w:val="00A609CC"/>
    <w:rsid w:val="00A638F7"/>
    <w:rsid w:val="00A64CFC"/>
    <w:rsid w:val="00A70952"/>
    <w:rsid w:val="00A72FF0"/>
    <w:rsid w:val="00A77D80"/>
    <w:rsid w:val="00A801B0"/>
    <w:rsid w:val="00A8215B"/>
    <w:rsid w:val="00A82E43"/>
    <w:rsid w:val="00A833E5"/>
    <w:rsid w:val="00A83B06"/>
    <w:rsid w:val="00A848C3"/>
    <w:rsid w:val="00A862F5"/>
    <w:rsid w:val="00A87C91"/>
    <w:rsid w:val="00A91A7D"/>
    <w:rsid w:val="00A93152"/>
    <w:rsid w:val="00A9750D"/>
    <w:rsid w:val="00A976E5"/>
    <w:rsid w:val="00AA4E73"/>
    <w:rsid w:val="00AA70E5"/>
    <w:rsid w:val="00AA71CE"/>
    <w:rsid w:val="00AB348E"/>
    <w:rsid w:val="00AC3013"/>
    <w:rsid w:val="00AC59D9"/>
    <w:rsid w:val="00AC7519"/>
    <w:rsid w:val="00AD153C"/>
    <w:rsid w:val="00AD1979"/>
    <w:rsid w:val="00AD1C44"/>
    <w:rsid w:val="00AD1E11"/>
    <w:rsid w:val="00AD45D5"/>
    <w:rsid w:val="00AD66FB"/>
    <w:rsid w:val="00AE05E9"/>
    <w:rsid w:val="00AE085F"/>
    <w:rsid w:val="00AE15CB"/>
    <w:rsid w:val="00AE339F"/>
    <w:rsid w:val="00AE4FFE"/>
    <w:rsid w:val="00AE63F6"/>
    <w:rsid w:val="00AF05FD"/>
    <w:rsid w:val="00AF0D8B"/>
    <w:rsid w:val="00AF494C"/>
    <w:rsid w:val="00AF49A2"/>
    <w:rsid w:val="00AF76AD"/>
    <w:rsid w:val="00B04CA1"/>
    <w:rsid w:val="00B05300"/>
    <w:rsid w:val="00B0552B"/>
    <w:rsid w:val="00B07188"/>
    <w:rsid w:val="00B0773B"/>
    <w:rsid w:val="00B11E55"/>
    <w:rsid w:val="00B11EE0"/>
    <w:rsid w:val="00B16A27"/>
    <w:rsid w:val="00B22A60"/>
    <w:rsid w:val="00B2308D"/>
    <w:rsid w:val="00B24FAB"/>
    <w:rsid w:val="00B251F7"/>
    <w:rsid w:val="00B27851"/>
    <w:rsid w:val="00B27A97"/>
    <w:rsid w:val="00B3619E"/>
    <w:rsid w:val="00B403EE"/>
    <w:rsid w:val="00B409BB"/>
    <w:rsid w:val="00B41265"/>
    <w:rsid w:val="00B43BEE"/>
    <w:rsid w:val="00B44866"/>
    <w:rsid w:val="00B45F8E"/>
    <w:rsid w:val="00B51BFD"/>
    <w:rsid w:val="00B52240"/>
    <w:rsid w:val="00B552C8"/>
    <w:rsid w:val="00B56CCA"/>
    <w:rsid w:val="00B601C3"/>
    <w:rsid w:val="00B60721"/>
    <w:rsid w:val="00B631EA"/>
    <w:rsid w:val="00B63E0A"/>
    <w:rsid w:val="00B64CFE"/>
    <w:rsid w:val="00B67B6A"/>
    <w:rsid w:val="00B74176"/>
    <w:rsid w:val="00B800FA"/>
    <w:rsid w:val="00B802A3"/>
    <w:rsid w:val="00B80B6F"/>
    <w:rsid w:val="00B813E5"/>
    <w:rsid w:val="00B83B1E"/>
    <w:rsid w:val="00B87E90"/>
    <w:rsid w:val="00B90A9A"/>
    <w:rsid w:val="00B91486"/>
    <w:rsid w:val="00B938D0"/>
    <w:rsid w:val="00B93AF8"/>
    <w:rsid w:val="00BA25CE"/>
    <w:rsid w:val="00BA2873"/>
    <w:rsid w:val="00BA48A5"/>
    <w:rsid w:val="00BB2734"/>
    <w:rsid w:val="00BB37C2"/>
    <w:rsid w:val="00BB6E57"/>
    <w:rsid w:val="00BB7850"/>
    <w:rsid w:val="00BC1270"/>
    <w:rsid w:val="00BC1435"/>
    <w:rsid w:val="00BD01CA"/>
    <w:rsid w:val="00BD1330"/>
    <w:rsid w:val="00BD1E8E"/>
    <w:rsid w:val="00BD3158"/>
    <w:rsid w:val="00BD5C67"/>
    <w:rsid w:val="00BD6FF0"/>
    <w:rsid w:val="00BE084C"/>
    <w:rsid w:val="00BE28DE"/>
    <w:rsid w:val="00BE701C"/>
    <w:rsid w:val="00BF5A53"/>
    <w:rsid w:val="00BF6E84"/>
    <w:rsid w:val="00C0196F"/>
    <w:rsid w:val="00C01CCA"/>
    <w:rsid w:val="00C01E93"/>
    <w:rsid w:val="00C03796"/>
    <w:rsid w:val="00C04029"/>
    <w:rsid w:val="00C054EB"/>
    <w:rsid w:val="00C05EE1"/>
    <w:rsid w:val="00C06571"/>
    <w:rsid w:val="00C100AB"/>
    <w:rsid w:val="00C11E95"/>
    <w:rsid w:val="00C13A5C"/>
    <w:rsid w:val="00C13ACC"/>
    <w:rsid w:val="00C15C1A"/>
    <w:rsid w:val="00C15FA9"/>
    <w:rsid w:val="00C20C49"/>
    <w:rsid w:val="00C20E78"/>
    <w:rsid w:val="00C21BCA"/>
    <w:rsid w:val="00C21FD0"/>
    <w:rsid w:val="00C238ED"/>
    <w:rsid w:val="00C24594"/>
    <w:rsid w:val="00C25455"/>
    <w:rsid w:val="00C273C7"/>
    <w:rsid w:val="00C27733"/>
    <w:rsid w:val="00C3238E"/>
    <w:rsid w:val="00C337E8"/>
    <w:rsid w:val="00C35483"/>
    <w:rsid w:val="00C47676"/>
    <w:rsid w:val="00C47705"/>
    <w:rsid w:val="00C546ED"/>
    <w:rsid w:val="00C5538F"/>
    <w:rsid w:val="00C62439"/>
    <w:rsid w:val="00C62F3D"/>
    <w:rsid w:val="00C663F2"/>
    <w:rsid w:val="00C70239"/>
    <w:rsid w:val="00C71DC0"/>
    <w:rsid w:val="00C7351B"/>
    <w:rsid w:val="00C7541B"/>
    <w:rsid w:val="00C75F70"/>
    <w:rsid w:val="00C779F1"/>
    <w:rsid w:val="00C81970"/>
    <w:rsid w:val="00C8208E"/>
    <w:rsid w:val="00C876DA"/>
    <w:rsid w:val="00C90DD8"/>
    <w:rsid w:val="00C937F6"/>
    <w:rsid w:val="00C953F6"/>
    <w:rsid w:val="00CA42F8"/>
    <w:rsid w:val="00CA4EAD"/>
    <w:rsid w:val="00CB17E5"/>
    <w:rsid w:val="00CB43C8"/>
    <w:rsid w:val="00CB4783"/>
    <w:rsid w:val="00CB50F2"/>
    <w:rsid w:val="00CB5BDA"/>
    <w:rsid w:val="00CB710C"/>
    <w:rsid w:val="00CC054C"/>
    <w:rsid w:val="00CC3792"/>
    <w:rsid w:val="00CC4D44"/>
    <w:rsid w:val="00CC5DF7"/>
    <w:rsid w:val="00CD1934"/>
    <w:rsid w:val="00CD6FE6"/>
    <w:rsid w:val="00CE0927"/>
    <w:rsid w:val="00CE12A1"/>
    <w:rsid w:val="00CE6691"/>
    <w:rsid w:val="00CF14BD"/>
    <w:rsid w:val="00D00165"/>
    <w:rsid w:val="00D02DE1"/>
    <w:rsid w:val="00D030A6"/>
    <w:rsid w:val="00D048F2"/>
    <w:rsid w:val="00D051FE"/>
    <w:rsid w:val="00D05351"/>
    <w:rsid w:val="00D10639"/>
    <w:rsid w:val="00D1317F"/>
    <w:rsid w:val="00D20145"/>
    <w:rsid w:val="00D21733"/>
    <w:rsid w:val="00D24A80"/>
    <w:rsid w:val="00D27348"/>
    <w:rsid w:val="00D2753A"/>
    <w:rsid w:val="00D32322"/>
    <w:rsid w:val="00D33B00"/>
    <w:rsid w:val="00D3414D"/>
    <w:rsid w:val="00D34262"/>
    <w:rsid w:val="00D34559"/>
    <w:rsid w:val="00D35091"/>
    <w:rsid w:val="00D41E5D"/>
    <w:rsid w:val="00D448C1"/>
    <w:rsid w:val="00D44F09"/>
    <w:rsid w:val="00D45586"/>
    <w:rsid w:val="00D4698C"/>
    <w:rsid w:val="00D47920"/>
    <w:rsid w:val="00D52704"/>
    <w:rsid w:val="00D54DE1"/>
    <w:rsid w:val="00D56757"/>
    <w:rsid w:val="00D60121"/>
    <w:rsid w:val="00D65859"/>
    <w:rsid w:val="00D714D7"/>
    <w:rsid w:val="00D72800"/>
    <w:rsid w:val="00D73F66"/>
    <w:rsid w:val="00D80DA2"/>
    <w:rsid w:val="00D83D19"/>
    <w:rsid w:val="00D85840"/>
    <w:rsid w:val="00D93F8A"/>
    <w:rsid w:val="00DA2118"/>
    <w:rsid w:val="00DA3343"/>
    <w:rsid w:val="00DA45A5"/>
    <w:rsid w:val="00DA4DB8"/>
    <w:rsid w:val="00DA7CC1"/>
    <w:rsid w:val="00DB2726"/>
    <w:rsid w:val="00DB2C5F"/>
    <w:rsid w:val="00DB3C7A"/>
    <w:rsid w:val="00DC0717"/>
    <w:rsid w:val="00DC0F3B"/>
    <w:rsid w:val="00DC46C5"/>
    <w:rsid w:val="00DC5827"/>
    <w:rsid w:val="00DC7DD8"/>
    <w:rsid w:val="00DD030D"/>
    <w:rsid w:val="00DE25CC"/>
    <w:rsid w:val="00DE555C"/>
    <w:rsid w:val="00DF2A11"/>
    <w:rsid w:val="00E02A7E"/>
    <w:rsid w:val="00E02DA7"/>
    <w:rsid w:val="00E048B7"/>
    <w:rsid w:val="00E06A97"/>
    <w:rsid w:val="00E106BF"/>
    <w:rsid w:val="00E1112C"/>
    <w:rsid w:val="00E117EB"/>
    <w:rsid w:val="00E133B6"/>
    <w:rsid w:val="00E140DD"/>
    <w:rsid w:val="00E1481C"/>
    <w:rsid w:val="00E15655"/>
    <w:rsid w:val="00E1635B"/>
    <w:rsid w:val="00E16545"/>
    <w:rsid w:val="00E30047"/>
    <w:rsid w:val="00E31DA2"/>
    <w:rsid w:val="00E33F2E"/>
    <w:rsid w:val="00E34AC0"/>
    <w:rsid w:val="00E36DC5"/>
    <w:rsid w:val="00E3732A"/>
    <w:rsid w:val="00E37B13"/>
    <w:rsid w:val="00E4025A"/>
    <w:rsid w:val="00E50083"/>
    <w:rsid w:val="00E502B3"/>
    <w:rsid w:val="00E50F32"/>
    <w:rsid w:val="00E50F7F"/>
    <w:rsid w:val="00E53044"/>
    <w:rsid w:val="00E53407"/>
    <w:rsid w:val="00E57BD1"/>
    <w:rsid w:val="00E61761"/>
    <w:rsid w:val="00E65B20"/>
    <w:rsid w:val="00E6643B"/>
    <w:rsid w:val="00E72CF8"/>
    <w:rsid w:val="00E77545"/>
    <w:rsid w:val="00E77E54"/>
    <w:rsid w:val="00E85B65"/>
    <w:rsid w:val="00E86DD7"/>
    <w:rsid w:val="00E872B3"/>
    <w:rsid w:val="00E87957"/>
    <w:rsid w:val="00E87C7E"/>
    <w:rsid w:val="00E9590C"/>
    <w:rsid w:val="00E95CA7"/>
    <w:rsid w:val="00EA115B"/>
    <w:rsid w:val="00EA2980"/>
    <w:rsid w:val="00EB0021"/>
    <w:rsid w:val="00EB3994"/>
    <w:rsid w:val="00EB609B"/>
    <w:rsid w:val="00EC08CB"/>
    <w:rsid w:val="00EC2B49"/>
    <w:rsid w:val="00ED535A"/>
    <w:rsid w:val="00ED6859"/>
    <w:rsid w:val="00ED6A09"/>
    <w:rsid w:val="00EE248B"/>
    <w:rsid w:val="00EE4846"/>
    <w:rsid w:val="00EE5703"/>
    <w:rsid w:val="00EE5E12"/>
    <w:rsid w:val="00EF1FB3"/>
    <w:rsid w:val="00EF2ED0"/>
    <w:rsid w:val="00EF365B"/>
    <w:rsid w:val="00F01164"/>
    <w:rsid w:val="00F02276"/>
    <w:rsid w:val="00F0333B"/>
    <w:rsid w:val="00F10E69"/>
    <w:rsid w:val="00F128EA"/>
    <w:rsid w:val="00F145D1"/>
    <w:rsid w:val="00F224A1"/>
    <w:rsid w:val="00F26788"/>
    <w:rsid w:val="00F270FB"/>
    <w:rsid w:val="00F30AE4"/>
    <w:rsid w:val="00F31999"/>
    <w:rsid w:val="00F334AA"/>
    <w:rsid w:val="00F33EA9"/>
    <w:rsid w:val="00F357F3"/>
    <w:rsid w:val="00F42911"/>
    <w:rsid w:val="00F443D4"/>
    <w:rsid w:val="00F50F95"/>
    <w:rsid w:val="00F51652"/>
    <w:rsid w:val="00F529A1"/>
    <w:rsid w:val="00F61F30"/>
    <w:rsid w:val="00F7061C"/>
    <w:rsid w:val="00F70C81"/>
    <w:rsid w:val="00F70E7D"/>
    <w:rsid w:val="00F713CB"/>
    <w:rsid w:val="00F73ACC"/>
    <w:rsid w:val="00F75756"/>
    <w:rsid w:val="00F7643D"/>
    <w:rsid w:val="00F77DF0"/>
    <w:rsid w:val="00F80F78"/>
    <w:rsid w:val="00F82039"/>
    <w:rsid w:val="00F821E5"/>
    <w:rsid w:val="00F86325"/>
    <w:rsid w:val="00F870F2"/>
    <w:rsid w:val="00F950CA"/>
    <w:rsid w:val="00FA22F2"/>
    <w:rsid w:val="00FA3F36"/>
    <w:rsid w:val="00FA50B9"/>
    <w:rsid w:val="00FA61FC"/>
    <w:rsid w:val="00FA6447"/>
    <w:rsid w:val="00FA6D4C"/>
    <w:rsid w:val="00FB014B"/>
    <w:rsid w:val="00FB3AD6"/>
    <w:rsid w:val="00FB3BC8"/>
    <w:rsid w:val="00FB522C"/>
    <w:rsid w:val="00FC03CA"/>
    <w:rsid w:val="00FC0D61"/>
    <w:rsid w:val="00FC12B8"/>
    <w:rsid w:val="00FC1347"/>
    <w:rsid w:val="00FC1ABB"/>
    <w:rsid w:val="00FC2C47"/>
    <w:rsid w:val="00FC6D4E"/>
    <w:rsid w:val="00FD1113"/>
    <w:rsid w:val="00FD2212"/>
    <w:rsid w:val="00FD3C05"/>
    <w:rsid w:val="00FD4DE7"/>
    <w:rsid w:val="00FD56BD"/>
    <w:rsid w:val="00FD7950"/>
    <w:rsid w:val="00FE0028"/>
    <w:rsid w:val="00FE129A"/>
    <w:rsid w:val="00FE453B"/>
    <w:rsid w:val="00FE7CA1"/>
    <w:rsid w:val="00FF0D69"/>
    <w:rsid w:val="00FF3816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D61BE17"/>
  <w15:docId w15:val="{4E3E524C-19E5-4DE5-BEDF-9BAED7DF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639"/>
    <w:rPr>
      <w:sz w:val="24"/>
      <w:szCs w:val="24"/>
    </w:rPr>
  </w:style>
  <w:style w:type="paragraph" w:styleId="Nadpis1">
    <w:name w:val="heading 1"/>
    <w:basedOn w:val="Normln"/>
    <w:next w:val="Normln"/>
    <w:qFormat/>
    <w:rsid w:val="00D10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basedOn w:val="Standardnpsmoodstavce"/>
    <w:rsid w:val="00D10639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styleId="Hypertextovodkaz">
    <w:name w:val="Hyperlink"/>
    <w:basedOn w:val="Standardnpsmoodstavce"/>
    <w:rsid w:val="00D106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0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11ADC"/>
    <w:rPr>
      <w:sz w:val="16"/>
      <w:szCs w:val="16"/>
    </w:rPr>
  </w:style>
  <w:style w:type="paragraph" w:styleId="Textkomente">
    <w:name w:val="annotation text"/>
    <w:basedOn w:val="Normln"/>
    <w:semiHidden/>
    <w:rsid w:val="00511AD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11ADC"/>
    <w:rPr>
      <w:b/>
      <w:bCs/>
    </w:rPr>
  </w:style>
  <w:style w:type="paragraph" w:styleId="Revize">
    <w:name w:val="Revision"/>
    <w:hidden/>
    <w:uiPriority w:val="99"/>
    <w:semiHidden/>
    <w:rsid w:val="00FB3BC8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27348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798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79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287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30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xim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F538-0FA1-46FE-9B0B-E53862C7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2190</Words>
  <Characters>12817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IPP 2020</vt:lpstr>
    </vt:vector>
  </TitlesOfParts>
  <Company>TREXIMA, spol. s r. o.</Company>
  <LinksUpToDate>false</LinksUpToDate>
  <CharactersWithSpaces>14978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http://www.trexima.cz/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 2022</dc:title>
  <dc:subject>Analýza</dc:subject>
  <dc:creator>Pavel Popovský, TREXIMA, spol. s r.o.</dc:creator>
  <cp:lastModifiedBy>Pavel Popovský</cp:lastModifiedBy>
  <cp:revision>5</cp:revision>
  <cp:lastPrinted>2021-09-02T08:35:00Z</cp:lastPrinted>
  <dcterms:created xsi:type="dcterms:W3CDTF">2022-10-04T08:19:00Z</dcterms:created>
  <dcterms:modified xsi:type="dcterms:W3CDTF">2022-10-04T13:41:00Z</dcterms:modified>
</cp:coreProperties>
</file>